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87F26" w14:textId="77777777" w:rsidR="00FA0907" w:rsidRPr="00FA0907" w:rsidRDefault="00FA0907" w:rsidP="00FA0907">
      <w:pPr>
        <w:jc w:val="center"/>
        <w:rPr>
          <w:rFonts w:ascii="仿宋" w:eastAsia="仿宋" w:hAnsi="仿宋" w:cs="仿宋"/>
          <w:b/>
          <w:bCs/>
          <w:sz w:val="32"/>
          <w:szCs w:val="32"/>
        </w:rPr>
      </w:pPr>
      <w:r w:rsidRPr="00FA0907">
        <w:rPr>
          <w:rFonts w:ascii="仿宋" w:eastAsia="仿宋" w:hAnsi="仿宋" w:cs="仿宋" w:hint="eastAsia"/>
          <w:b/>
          <w:bCs/>
          <w:sz w:val="32"/>
          <w:szCs w:val="32"/>
        </w:rPr>
        <w:t>北京市海淀区青少年学生校外活动基地单位区级申报标准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844"/>
        <w:gridCol w:w="5520"/>
      </w:tblGrid>
      <w:tr w:rsidR="00FA0907" w14:paraId="1EA5328A" w14:textId="77777777" w:rsidTr="00107A13">
        <w:trPr>
          <w:trHeight w:val="475"/>
          <w:jc w:val="center"/>
        </w:trPr>
        <w:tc>
          <w:tcPr>
            <w:tcW w:w="1163" w:type="pct"/>
            <w:vAlign w:val="center"/>
          </w:tcPr>
          <w:p w14:paraId="72128D5F" w14:textId="77777777" w:rsidR="00FA0907" w:rsidRDefault="00FA0907" w:rsidP="00107A13">
            <w:pPr>
              <w:jc w:val="center"/>
              <w:rPr>
                <w:rFonts w:ascii="仿宋" w:eastAsia="仿宋" w:hAnsi="仿宋" w:cs="仿宋"/>
                <w:b/>
                <w:bCs/>
              </w:rPr>
            </w:pPr>
            <w:r>
              <w:rPr>
                <w:rFonts w:ascii="仿宋" w:eastAsia="仿宋" w:hAnsi="仿宋" w:cs="仿宋" w:hint="eastAsia"/>
                <w:b/>
                <w:bCs/>
              </w:rPr>
              <w:t>一级指标</w:t>
            </w:r>
          </w:p>
        </w:tc>
        <w:tc>
          <w:tcPr>
            <w:tcW w:w="509" w:type="pct"/>
            <w:vAlign w:val="center"/>
          </w:tcPr>
          <w:p w14:paraId="4CC67B09" w14:textId="77777777" w:rsidR="00FA0907" w:rsidRDefault="00FA0907" w:rsidP="00107A13">
            <w:pPr>
              <w:jc w:val="center"/>
              <w:rPr>
                <w:rFonts w:ascii="仿宋" w:eastAsia="仿宋" w:hAnsi="仿宋" w:cs="仿宋"/>
                <w:b/>
                <w:bCs/>
                <w:szCs w:val="21"/>
              </w:rPr>
            </w:pPr>
            <w:r>
              <w:rPr>
                <w:rFonts w:ascii="仿宋" w:eastAsia="仿宋" w:hAnsi="仿宋" w:cs="仿宋" w:hint="eastAsia"/>
                <w:b/>
                <w:bCs/>
                <w:szCs w:val="21"/>
              </w:rPr>
              <w:t>二级指标</w:t>
            </w:r>
          </w:p>
        </w:tc>
        <w:tc>
          <w:tcPr>
            <w:tcW w:w="3327" w:type="pct"/>
            <w:vAlign w:val="center"/>
          </w:tcPr>
          <w:p w14:paraId="756AD61E" w14:textId="77777777" w:rsidR="00FA0907" w:rsidRDefault="00FA0907" w:rsidP="00107A13">
            <w:pPr>
              <w:jc w:val="center"/>
              <w:rPr>
                <w:rFonts w:ascii="仿宋" w:eastAsia="仿宋" w:hAnsi="仿宋" w:cs="仿宋"/>
                <w:b/>
                <w:bCs/>
                <w:szCs w:val="21"/>
              </w:rPr>
            </w:pPr>
            <w:r>
              <w:rPr>
                <w:rFonts w:ascii="仿宋" w:eastAsia="仿宋" w:hAnsi="仿宋" w:cs="仿宋" w:hint="eastAsia"/>
                <w:b/>
                <w:bCs/>
                <w:szCs w:val="21"/>
              </w:rPr>
              <w:t>三级指标</w:t>
            </w:r>
          </w:p>
        </w:tc>
      </w:tr>
      <w:tr w:rsidR="00FA0907" w14:paraId="287BCFD2" w14:textId="77777777" w:rsidTr="00107A13">
        <w:trPr>
          <w:trHeight w:val="594"/>
          <w:jc w:val="center"/>
        </w:trPr>
        <w:tc>
          <w:tcPr>
            <w:tcW w:w="1163" w:type="pct"/>
            <w:vMerge w:val="restart"/>
            <w:textDirection w:val="tbRlV"/>
            <w:vAlign w:val="center"/>
          </w:tcPr>
          <w:p w14:paraId="42909281" w14:textId="77777777" w:rsidR="00FA0907" w:rsidRDefault="00FA0907" w:rsidP="00107A13">
            <w:pPr>
              <w:spacing w:line="360" w:lineRule="auto"/>
              <w:ind w:left="113" w:right="113"/>
              <w:jc w:val="center"/>
              <w:rPr>
                <w:rFonts w:ascii="仿宋" w:eastAsia="仿宋" w:hAnsi="仿宋" w:cs="仿宋"/>
                <w:b/>
                <w:szCs w:val="21"/>
              </w:rPr>
            </w:pPr>
            <w:proofErr w:type="gramStart"/>
            <w:r>
              <w:rPr>
                <w:rFonts w:ascii="仿宋" w:eastAsia="仿宋" w:hAnsi="仿宋" w:cs="仿宋" w:hint="eastAsia"/>
                <w:b/>
                <w:szCs w:val="21"/>
              </w:rPr>
              <w:t>一</w:t>
            </w:r>
            <w:proofErr w:type="gramEnd"/>
            <w:r>
              <w:rPr>
                <w:rFonts w:ascii="仿宋" w:eastAsia="仿宋" w:hAnsi="仿宋" w:cs="仿宋" w:hint="eastAsia"/>
                <w:b/>
                <w:szCs w:val="21"/>
              </w:rPr>
              <w:t xml:space="preserve">  硬 件 及 资 质</w:t>
            </w:r>
          </w:p>
        </w:tc>
        <w:tc>
          <w:tcPr>
            <w:tcW w:w="509" w:type="pct"/>
            <w:vAlign w:val="center"/>
          </w:tcPr>
          <w:p w14:paraId="3F512572" w14:textId="77777777" w:rsidR="00FA0907" w:rsidRDefault="00FA0907" w:rsidP="00107A13">
            <w:pPr>
              <w:rPr>
                <w:rFonts w:ascii="仿宋" w:eastAsia="仿宋" w:hAnsi="仿宋" w:cs="仿宋"/>
                <w:szCs w:val="21"/>
              </w:rPr>
            </w:pPr>
            <w:r>
              <w:rPr>
                <w:rFonts w:ascii="仿宋" w:eastAsia="仿宋" w:hAnsi="仿宋" w:cs="仿宋" w:hint="eastAsia"/>
                <w:szCs w:val="21"/>
              </w:rPr>
              <w:t>1.场地环境</w:t>
            </w:r>
          </w:p>
        </w:tc>
        <w:tc>
          <w:tcPr>
            <w:tcW w:w="3327" w:type="pct"/>
            <w:vAlign w:val="center"/>
          </w:tcPr>
          <w:p w14:paraId="2716644D"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1.有符合学生活动需要的固定场地（室内类型的单位人均活动面积1平方米以上）</w:t>
            </w:r>
          </w:p>
          <w:p w14:paraId="2112A84E"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2.以接待学生集体活动为主的资源单位应设有至少两辆50座大客车的停车位</w:t>
            </w:r>
          </w:p>
          <w:p w14:paraId="63CF7301"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3.学生活动场所具有健康向上的氛围，场地及周边环境治安状况、卫生状况良好</w:t>
            </w:r>
          </w:p>
        </w:tc>
      </w:tr>
      <w:tr w:rsidR="00FA0907" w14:paraId="5D859E89" w14:textId="77777777" w:rsidTr="00107A13">
        <w:trPr>
          <w:trHeight w:val="419"/>
          <w:jc w:val="center"/>
        </w:trPr>
        <w:tc>
          <w:tcPr>
            <w:tcW w:w="1163" w:type="pct"/>
            <w:vMerge/>
            <w:vAlign w:val="center"/>
          </w:tcPr>
          <w:p w14:paraId="30E078B1" w14:textId="77777777" w:rsidR="00FA0907" w:rsidRDefault="00FA0907" w:rsidP="00107A13">
            <w:pPr>
              <w:rPr>
                <w:rFonts w:ascii="仿宋" w:eastAsia="仿宋" w:hAnsi="仿宋" w:cs="仿宋"/>
              </w:rPr>
            </w:pPr>
          </w:p>
        </w:tc>
        <w:tc>
          <w:tcPr>
            <w:tcW w:w="509" w:type="pct"/>
            <w:vAlign w:val="center"/>
          </w:tcPr>
          <w:p w14:paraId="2E82EA21" w14:textId="77777777" w:rsidR="00FA0907" w:rsidRDefault="00FA0907" w:rsidP="00107A13">
            <w:pPr>
              <w:rPr>
                <w:rFonts w:ascii="仿宋" w:eastAsia="仿宋" w:hAnsi="仿宋" w:cs="仿宋"/>
                <w:szCs w:val="21"/>
              </w:rPr>
            </w:pPr>
            <w:r>
              <w:rPr>
                <w:rFonts w:ascii="仿宋" w:eastAsia="仿宋" w:hAnsi="仿宋" w:cs="仿宋" w:hint="eastAsia"/>
                <w:szCs w:val="21"/>
              </w:rPr>
              <w:t>2.设施设备</w:t>
            </w:r>
          </w:p>
        </w:tc>
        <w:tc>
          <w:tcPr>
            <w:tcW w:w="3327" w:type="pct"/>
            <w:vAlign w:val="center"/>
          </w:tcPr>
          <w:p w14:paraId="6F5CC6EE"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1.场地各项设施、设备、器材安全有效</w:t>
            </w:r>
          </w:p>
          <w:p w14:paraId="55489B96"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2.对学生无安全隐患</w:t>
            </w:r>
          </w:p>
        </w:tc>
      </w:tr>
      <w:tr w:rsidR="00FA0907" w14:paraId="153BDCB0" w14:textId="77777777" w:rsidTr="00107A13">
        <w:trPr>
          <w:trHeight w:val="640"/>
          <w:jc w:val="center"/>
        </w:trPr>
        <w:tc>
          <w:tcPr>
            <w:tcW w:w="1163" w:type="pct"/>
            <w:vMerge/>
            <w:vAlign w:val="center"/>
          </w:tcPr>
          <w:p w14:paraId="6A1FCDD3" w14:textId="77777777" w:rsidR="00FA0907" w:rsidRDefault="00FA0907" w:rsidP="00107A13">
            <w:pPr>
              <w:rPr>
                <w:rFonts w:ascii="仿宋" w:eastAsia="仿宋" w:hAnsi="仿宋" w:cs="仿宋"/>
              </w:rPr>
            </w:pPr>
          </w:p>
        </w:tc>
        <w:tc>
          <w:tcPr>
            <w:tcW w:w="509" w:type="pct"/>
            <w:vAlign w:val="center"/>
          </w:tcPr>
          <w:p w14:paraId="6128129C" w14:textId="77777777" w:rsidR="00FA0907" w:rsidRDefault="00FA0907" w:rsidP="00107A13">
            <w:pPr>
              <w:rPr>
                <w:rFonts w:ascii="仿宋" w:eastAsia="仿宋" w:hAnsi="仿宋" w:cs="仿宋"/>
                <w:szCs w:val="21"/>
              </w:rPr>
            </w:pPr>
            <w:r>
              <w:rPr>
                <w:rFonts w:ascii="仿宋" w:eastAsia="仿宋" w:hAnsi="仿宋" w:cs="仿宋" w:hint="eastAsia"/>
                <w:szCs w:val="21"/>
              </w:rPr>
              <w:t>3.资质条件</w:t>
            </w:r>
          </w:p>
        </w:tc>
        <w:tc>
          <w:tcPr>
            <w:tcW w:w="3327" w:type="pct"/>
            <w:vAlign w:val="center"/>
          </w:tcPr>
          <w:p w14:paraId="595EC748"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1.具有年检合格的法人资质、营业执照</w:t>
            </w:r>
          </w:p>
          <w:p w14:paraId="2410027B"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2.具有消防、公安、卫生、质监等部门的相关安全证明、评估报告或检验记录</w:t>
            </w:r>
          </w:p>
        </w:tc>
      </w:tr>
      <w:tr w:rsidR="00FA0907" w14:paraId="031EB776" w14:textId="77777777" w:rsidTr="00107A13">
        <w:trPr>
          <w:trHeight w:val="640"/>
          <w:jc w:val="center"/>
        </w:trPr>
        <w:tc>
          <w:tcPr>
            <w:tcW w:w="1163" w:type="pct"/>
            <w:vMerge/>
            <w:vAlign w:val="center"/>
          </w:tcPr>
          <w:p w14:paraId="348E01AA" w14:textId="77777777" w:rsidR="00FA0907" w:rsidRDefault="00FA0907" w:rsidP="00107A13">
            <w:pPr>
              <w:rPr>
                <w:rFonts w:ascii="仿宋" w:eastAsia="仿宋" w:hAnsi="仿宋" w:cs="仿宋"/>
              </w:rPr>
            </w:pPr>
          </w:p>
        </w:tc>
        <w:tc>
          <w:tcPr>
            <w:tcW w:w="509" w:type="pct"/>
            <w:vAlign w:val="center"/>
          </w:tcPr>
          <w:p w14:paraId="46E2934D" w14:textId="77777777" w:rsidR="00FA0907" w:rsidRDefault="00FA0907" w:rsidP="00107A13">
            <w:pPr>
              <w:rPr>
                <w:rFonts w:ascii="仿宋" w:eastAsia="仿宋" w:hAnsi="仿宋" w:cs="仿宋"/>
                <w:szCs w:val="21"/>
              </w:rPr>
            </w:pPr>
            <w:r>
              <w:rPr>
                <w:rFonts w:ascii="仿宋" w:eastAsia="仿宋" w:hAnsi="仿宋" w:cs="仿宋" w:hint="eastAsia"/>
                <w:szCs w:val="21"/>
              </w:rPr>
              <w:t>4.申报条件</w:t>
            </w:r>
          </w:p>
        </w:tc>
        <w:tc>
          <w:tcPr>
            <w:tcW w:w="3327" w:type="pct"/>
            <w:vAlign w:val="center"/>
          </w:tcPr>
          <w:p w14:paraId="7D39C1D1" w14:textId="77777777" w:rsidR="00FA0907" w:rsidRDefault="00FA0907" w:rsidP="00107A13">
            <w:pPr>
              <w:tabs>
                <w:tab w:val="left" w:pos="420"/>
              </w:tabs>
              <w:rPr>
                <w:rFonts w:ascii="仿宋" w:eastAsia="仿宋" w:hAnsi="仿宋" w:cs="仿宋"/>
              </w:rPr>
            </w:pPr>
            <w:r>
              <w:rPr>
                <w:rFonts w:ascii="仿宋" w:eastAsia="仿宋" w:hAnsi="仿宋" w:cs="仿宋" w:hint="eastAsia"/>
                <w:color w:val="333333"/>
                <w:kern w:val="0"/>
              </w:rPr>
              <w:t>1.专门开展青少年学生校外活动的校外教育机构</w:t>
            </w:r>
          </w:p>
          <w:p w14:paraId="2BCD6EC1" w14:textId="77777777" w:rsidR="00FA0907" w:rsidRDefault="00FA0907" w:rsidP="00107A13">
            <w:pPr>
              <w:tabs>
                <w:tab w:val="left" w:pos="420"/>
              </w:tabs>
              <w:rPr>
                <w:rFonts w:ascii="仿宋" w:eastAsia="仿宋" w:hAnsi="仿宋" w:cs="仿宋"/>
              </w:rPr>
            </w:pPr>
            <w:r>
              <w:rPr>
                <w:rFonts w:ascii="仿宋" w:eastAsia="仿宋" w:hAnsi="仿宋" w:cs="仿宋" w:hint="eastAsia"/>
                <w:color w:val="333333"/>
                <w:kern w:val="0"/>
              </w:rPr>
              <w:t>2.开展青少年学生校外教育活动的科技馆、文化馆、纪念馆、图书馆、博物馆、展览馆、公园等公益性文化设施</w:t>
            </w:r>
          </w:p>
        </w:tc>
      </w:tr>
      <w:tr w:rsidR="00FA0907" w14:paraId="3EF30DC8" w14:textId="77777777" w:rsidTr="00107A13">
        <w:trPr>
          <w:trHeight w:val="732"/>
          <w:jc w:val="center"/>
        </w:trPr>
        <w:tc>
          <w:tcPr>
            <w:tcW w:w="1163" w:type="pct"/>
            <w:vMerge w:val="restart"/>
            <w:vAlign w:val="center"/>
          </w:tcPr>
          <w:p w14:paraId="4C70D912" w14:textId="77777777" w:rsidR="00FA0907" w:rsidRDefault="00FA0907" w:rsidP="00107A13">
            <w:pPr>
              <w:jc w:val="center"/>
              <w:rPr>
                <w:rFonts w:ascii="仿宋" w:eastAsia="仿宋" w:hAnsi="仿宋" w:cs="仿宋"/>
                <w:szCs w:val="21"/>
              </w:rPr>
            </w:pPr>
            <w:r>
              <w:rPr>
                <w:rFonts w:ascii="仿宋" w:eastAsia="仿宋" w:hAnsi="仿宋" w:cs="仿宋" w:hint="eastAsia"/>
                <w:szCs w:val="21"/>
              </w:rPr>
              <w:t>二</w:t>
            </w:r>
          </w:p>
          <w:p w14:paraId="20447204"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 xml:space="preserve"> </w:t>
            </w:r>
          </w:p>
          <w:p w14:paraId="7CD6D233"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管</w:t>
            </w:r>
          </w:p>
          <w:p w14:paraId="584AEB0F"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理</w:t>
            </w:r>
          </w:p>
          <w:p w14:paraId="4D287417"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机</w:t>
            </w:r>
          </w:p>
          <w:p w14:paraId="23FA87CD"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制</w:t>
            </w:r>
          </w:p>
        </w:tc>
        <w:tc>
          <w:tcPr>
            <w:tcW w:w="509" w:type="pct"/>
            <w:vAlign w:val="center"/>
          </w:tcPr>
          <w:p w14:paraId="5D387719" w14:textId="77777777" w:rsidR="00FA0907" w:rsidRDefault="00FA0907" w:rsidP="00107A13">
            <w:pPr>
              <w:rPr>
                <w:rFonts w:ascii="仿宋" w:eastAsia="仿宋" w:hAnsi="仿宋" w:cs="仿宋"/>
                <w:szCs w:val="21"/>
              </w:rPr>
            </w:pPr>
            <w:r>
              <w:rPr>
                <w:rFonts w:ascii="仿宋" w:eastAsia="仿宋" w:hAnsi="仿宋" w:cs="仿宋" w:hint="eastAsia"/>
                <w:szCs w:val="21"/>
              </w:rPr>
              <w:t>5.制度保障</w:t>
            </w:r>
          </w:p>
        </w:tc>
        <w:tc>
          <w:tcPr>
            <w:tcW w:w="3327" w:type="pct"/>
            <w:vAlign w:val="center"/>
          </w:tcPr>
          <w:p w14:paraId="5A3DD9B0"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1.成立青少年学生校外活动领导机构及工作小组，有专人负责接洽、设计组织、统筹管理</w:t>
            </w:r>
          </w:p>
          <w:p w14:paraId="11D52C74"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2.有从业人员管理制度，对参与青少年学生校外活动的工作人员进行定期培训，能够为不同年龄的学生提供咨询、讲解、专业指导服务，并建立从业人员个人信息档案</w:t>
            </w:r>
          </w:p>
          <w:p w14:paraId="3A1706C1"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3.有青少年学生校外活动工作方案（手册）及接待流程，保证青少年学生校外活动工作规范运行</w:t>
            </w:r>
          </w:p>
          <w:p w14:paraId="206ADED3"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4.有明确的预约方式，有可公布的固定联系接待咨询电话</w:t>
            </w:r>
          </w:p>
        </w:tc>
      </w:tr>
      <w:tr w:rsidR="00FA0907" w14:paraId="55636F84" w14:textId="77777777" w:rsidTr="00107A13">
        <w:trPr>
          <w:trHeight w:val="640"/>
          <w:jc w:val="center"/>
        </w:trPr>
        <w:tc>
          <w:tcPr>
            <w:tcW w:w="1163" w:type="pct"/>
            <w:vMerge/>
            <w:vAlign w:val="center"/>
          </w:tcPr>
          <w:p w14:paraId="0D64964A" w14:textId="77777777" w:rsidR="00FA0907" w:rsidRDefault="00FA0907" w:rsidP="00107A13">
            <w:pPr>
              <w:rPr>
                <w:rFonts w:ascii="仿宋" w:eastAsia="仿宋" w:hAnsi="仿宋" w:cs="仿宋"/>
              </w:rPr>
            </w:pPr>
          </w:p>
        </w:tc>
        <w:tc>
          <w:tcPr>
            <w:tcW w:w="509" w:type="pct"/>
            <w:vAlign w:val="center"/>
          </w:tcPr>
          <w:p w14:paraId="66E6462F" w14:textId="77777777" w:rsidR="00FA0907" w:rsidRDefault="00FA0907" w:rsidP="00107A13">
            <w:pPr>
              <w:rPr>
                <w:rFonts w:ascii="仿宋" w:eastAsia="仿宋" w:hAnsi="仿宋" w:cs="仿宋"/>
                <w:szCs w:val="21"/>
              </w:rPr>
            </w:pPr>
            <w:r>
              <w:rPr>
                <w:rFonts w:ascii="仿宋" w:eastAsia="仿宋" w:hAnsi="仿宋" w:cs="仿宋" w:hint="eastAsia"/>
                <w:szCs w:val="21"/>
              </w:rPr>
              <w:t>6.时间保障</w:t>
            </w:r>
          </w:p>
        </w:tc>
        <w:tc>
          <w:tcPr>
            <w:tcW w:w="3327" w:type="pct"/>
            <w:vAlign w:val="center"/>
          </w:tcPr>
          <w:p w14:paraId="2B1F66D9"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1.有明确的学生活动时间</w:t>
            </w:r>
          </w:p>
          <w:p w14:paraId="6EB94A47"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2.寒暑假、周末对学生活动开放</w:t>
            </w:r>
          </w:p>
        </w:tc>
      </w:tr>
      <w:tr w:rsidR="00FA0907" w14:paraId="15AA53C9" w14:textId="77777777" w:rsidTr="00107A13">
        <w:trPr>
          <w:trHeight w:val="698"/>
          <w:jc w:val="center"/>
        </w:trPr>
        <w:tc>
          <w:tcPr>
            <w:tcW w:w="1163" w:type="pct"/>
            <w:vMerge w:val="restart"/>
            <w:vAlign w:val="center"/>
          </w:tcPr>
          <w:p w14:paraId="62BA002E"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三</w:t>
            </w:r>
          </w:p>
          <w:p w14:paraId="14A5CDC3"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 xml:space="preserve">  </w:t>
            </w:r>
          </w:p>
          <w:p w14:paraId="37D37EA4"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活</w:t>
            </w:r>
          </w:p>
          <w:p w14:paraId="47AE3A63"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动</w:t>
            </w:r>
          </w:p>
          <w:p w14:paraId="0202B585"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开</w:t>
            </w:r>
          </w:p>
          <w:p w14:paraId="3CFA62B8" w14:textId="77777777" w:rsidR="00FA0907" w:rsidRDefault="00FA0907" w:rsidP="00107A13">
            <w:pPr>
              <w:jc w:val="center"/>
              <w:rPr>
                <w:rFonts w:ascii="仿宋" w:eastAsia="仿宋" w:hAnsi="仿宋" w:cs="仿宋"/>
                <w:szCs w:val="21"/>
              </w:rPr>
            </w:pPr>
            <w:r>
              <w:rPr>
                <w:rFonts w:ascii="仿宋" w:eastAsia="仿宋" w:hAnsi="仿宋" w:cs="仿宋" w:hint="eastAsia"/>
                <w:b/>
                <w:szCs w:val="21"/>
              </w:rPr>
              <w:t>展</w:t>
            </w:r>
          </w:p>
        </w:tc>
        <w:tc>
          <w:tcPr>
            <w:tcW w:w="509" w:type="pct"/>
            <w:vAlign w:val="center"/>
          </w:tcPr>
          <w:p w14:paraId="6CA9F78C" w14:textId="77777777" w:rsidR="00FA0907" w:rsidRDefault="00FA0907" w:rsidP="00107A13">
            <w:pPr>
              <w:rPr>
                <w:rFonts w:ascii="仿宋" w:eastAsia="仿宋" w:hAnsi="仿宋" w:cs="仿宋"/>
                <w:szCs w:val="21"/>
              </w:rPr>
            </w:pPr>
            <w:r>
              <w:rPr>
                <w:rFonts w:ascii="仿宋" w:eastAsia="仿宋" w:hAnsi="仿宋" w:cs="仿宋" w:hint="eastAsia"/>
                <w:szCs w:val="21"/>
              </w:rPr>
              <w:t>7.活动设计</w:t>
            </w:r>
          </w:p>
        </w:tc>
        <w:tc>
          <w:tcPr>
            <w:tcW w:w="3327" w:type="pct"/>
            <w:vAlign w:val="center"/>
          </w:tcPr>
          <w:p w14:paraId="4F8AAA5F"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1.活动内容与申请法人单位营业执照中所规定的经营范围相吻合</w:t>
            </w:r>
          </w:p>
          <w:p w14:paraId="15B6E9BD"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2.活动设计、实施符合落实社会主义核心价值观教育目标，遵循党的教育方针，体现落实立德树人根本任务的要求，适应中小学教育改革需求，体现教育资源的独特性。活动过程以学生为主体，符合学生身心发展规律</w:t>
            </w:r>
          </w:p>
          <w:p w14:paraId="2531A85E"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3.活动课程有活动方案、实施方案、安全预案。方案有明确的活动目标，有完整的实施步骤与方法，有具体并且可测的学习结果。体验内容能不断优化更新</w:t>
            </w:r>
          </w:p>
          <w:p w14:paraId="7D14D42B"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4.有适合大规模集体参与的体验活动课程；有适合个人或小团体参与的体验活动</w:t>
            </w:r>
          </w:p>
          <w:p w14:paraId="231C7467"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5.活动内容突出学生的职业体验特点</w:t>
            </w:r>
          </w:p>
        </w:tc>
      </w:tr>
      <w:tr w:rsidR="00FA0907" w14:paraId="716AB6EA" w14:textId="77777777" w:rsidTr="00107A13">
        <w:trPr>
          <w:trHeight w:val="698"/>
          <w:jc w:val="center"/>
        </w:trPr>
        <w:tc>
          <w:tcPr>
            <w:tcW w:w="1163" w:type="pct"/>
            <w:vMerge/>
            <w:vAlign w:val="center"/>
          </w:tcPr>
          <w:p w14:paraId="425CFA9F" w14:textId="77777777" w:rsidR="00FA0907" w:rsidRDefault="00FA0907" w:rsidP="00107A13">
            <w:pPr>
              <w:rPr>
                <w:rFonts w:ascii="仿宋" w:eastAsia="仿宋" w:hAnsi="仿宋" w:cs="仿宋"/>
              </w:rPr>
            </w:pPr>
          </w:p>
        </w:tc>
        <w:tc>
          <w:tcPr>
            <w:tcW w:w="509" w:type="pct"/>
            <w:vAlign w:val="center"/>
          </w:tcPr>
          <w:p w14:paraId="04076CDF" w14:textId="77777777" w:rsidR="00FA0907" w:rsidRDefault="00FA0907" w:rsidP="00107A13">
            <w:pPr>
              <w:rPr>
                <w:rFonts w:ascii="仿宋" w:eastAsia="仿宋" w:hAnsi="仿宋" w:cs="仿宋"/>
                <w:szCs w:val="21"/>
              </w:rPr>
            </w:pPr>
            <w:r>
              <w:rPr>
                <w:rFonts w:ascii="仿宋" w:eastAsia="仿宋" w:hAnsi="仿宋" w:cs="仿宋" w:hint="eastAsia"/>
                <w:szCs w:val="21"/>
              </w:rPr>
              <w:t>8.活动过</w:t>
            </w:r>
            <w:r>
              <w:rPr>
                <w:rFonts w:ascii="仿宋" w:eastAsia="仿宋" w:hAnsi="仿宋" w:cs="仿宋" w:hint="eastAsia"/>
                <w:szCs w:val="21"/>
              </w:rPr>
              <w:lastRenderedPageBreak/>
              <w:t>程</w:t>
            </w:r>
          </w:p>
        </w:tc>
        <w:tc>
          <w:tcPr>
            <w:tcW w:w="3327" w:type="pct"/>
            <w:vAlign w:val="center"/>
          </w:tcPr>
          <w:p w14:paraId="2BE868F3"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lastRenderedPageBreak/>
              <w:t>1.活动目标明确，形式丰富多样</w:t>
            </w:r>
          </w:p>
          <w:p w14:paraId="0E0F0620"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2.活动过程以学生为主体，符合学生身心发展规律</w:t>
            </w:r>
          </w:p>
        </w:tc>
      </w:tr>
      <w:tr w:rsidR="00FA0907" w14:paraId="55A1FFA2" w14:textId="77777777" w:rsidTr="00107A13">
        <w:trPr>
          <w:trHeight w:val="416"/>
          <w:jc w:val="center"/>
        </w:trPr>
        <w:tc>
          <w:tcPr>
            <w:tcW w:w="1163" w:type="pct"/>
            <w:vMerge w:val="restart"/>
            <w:vAlign w:val="center"/>
          </w:tcPr>
          <w:p w14:paraId="25F81F2D"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四</w:t>
            </w:r>
          </w:p>
          <w:p w14:paraId="3AD0D80A"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 xml:space="preserve">  </w:t>
            </w:r>
          </w:p>
          <w:p w14:paraId="78FCD78A" w14:textId="77777777" w:rsidR="00FA0907" w:rsidRDefault="00FA0907" w:rsidP="00107A13">
            <w:pPr>
              <w:jc w:val="center"/>
              <w:rPr>
                <w:rFonts w:ascii="仿宋" w:eastAsia="仿宋" w:hAnsi="仿宋" w:cs="仿宋"/>
                <w:b/>
                <w:szCs w:val="21"/>
              </w:rPr>
            </w:pPr>
            <w:proofErr w:type="gramStart"/>
            <w:r>
              <w:rPr>
                <w:rFonts w:ascii="仿宋" w:eastAsia="仿宋" w:hAnsi="仿宋" w:cs="仿宋" w:hint="eastAsia"/>
                <w:b/>
                <w:szCs w:val="21"/>
              </w:rPr>
              <w:t>履</w:t>
            </w:r>
            <w:proofErr w:type="gramEnd"/>
          </w:p>
          <w:p w14:paraId="16E5B628"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行</w:t>
            </w:r>
          </w:p>
          <w:p w14:paraId="0589DB1A" w14:textId="77777777" w:rsidR="00FA0907" w:rsidRDefault="00FA0907" w:rsidP="00107A13">
            <w:pPr>
              <w:jc w:val="center"/>
              <w:rPr>
                <w:rFonts w:ascii="仿宋" w:eastAsia="仿宋" w:hAnsi="仿宋" w:cs="仿宋"/>
                <w:b/>
                <w:szCs w:val="21"/>
              </w:rPr>
            </w:pPr>
            <w:r>
              <w:rPr>
                <w:rFonts w:ascii="仿宋" w:eastAsia="仿宋" w:hAnsi="仿宋" w:cs="仿宋" w:hint="eastAsia"/>
                <w:b/>
                <w:szCs w:val="21"/>
              </w:rPr>
              <w:t>义</w:t>
            </w:r>
          </w:p>
          <w:p w14:paraId="14A71B43" w14:textId="77777777" w:rsidR="00FA0907" w:rsidRDefault="00FA0907" w:rsidP="00107A13">
            <w:pPr>
              <w:jc w:val="center"/>
              <w:rPr>
                <w:rFonts w:ascii="仿宋" w:eastAsia="仿宋" w:hAnsi="仿宋" w:cs="仿宋"/>
                <w:b/>
                <w:szCs w:val="21"/>
              </w:rPr>
            </w:pPr>
            <w:proofErr w:type="gramStart"/>
            <w:r>
              <w:rPr>
                <w:rFonts w:ascii="仿宋" w:eastAsia="仿宋" w:hAnsi="仿宋" w:cs="仿宋" w:hint="eastAsia"/>
                <w:b/>
                <w:szCs w:val="21"/>
              </w:rPr>
              <w:t>务</w:t>
            </w:r>
            <w:proofErr w:type="gramEnd"/>
          </w:p>
        </w:tc>
        <w:tc>
          <w:tcPr>
            <w:tcW w:w="509" w:type="pct"/>
            <w:vAlign w:val="center"/>
          </w:tcPr>
          <w:p w14:paraId="69CD9043" w14:textId="77777777" w:rsidR="00FA0907" w:rsidRDefault="00FA0907" w:rsidP="00107A13">
            <w:pPr>
              <w:rPr>
                <w:rFonts w:ascii="仿宋" w:eastAsia="仿宋" w:hAnsi="仿宋" w:cs="仿宋"/>
                <w:szCs w:val="21"/>
              </w:rPr>
            </w:pPr>
            <w:r>
              <w:rPr>
                <w:rFonts w:ascii="仿宋" w:eastAsia="仿宋" w:hAnsi="仿宋" w:cs="仿宋" w:hint="eastAsia"/>
                <w:szCs w:val="21"/>
              </w:rPr>
              <w:t>9. 合作态度</w:t>
            </w:r>
          </w:p>
        </w:tc>
        <w:tc>
          <w:tcPr>
            <w:tcW w:w="3327" w:type="pct"/>
            <w:vAlign w:val="center"/>
          </w:tcPr>
          <w:p w14:paraId="0E2439A7"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 xml:space="preserve">1.遵守海淀区青少年学生校外教育工作联席办公室相关管理制度，参加海淀区青少年学生校外教育工作联席办公室组织的相关活动、培训、会议等 </w:t>
            </w:r>
          </w:p>
          <w:p w14:paraId="1EC470F2"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2.积极做好安全工作，学生活动场地及设施设备符合消防、公安、公共卫生、食品卫生、质监等相关部门的安全要求</w:t>
            </w:r>
          </w:p>
          <w:p w14:paraId="712DAD02"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3.积极开发符合资源单位自身属性的常态课和主题活动</w:t>
            </w:r>
          </w:p>
          <w:p w14:paraId="00530F4E"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4.积极主动通过多样化的媒体向社会宣传各种教育教学活动</w:t>
            </w:r>
          </w:p>
          <w:p w14:paraId="0D7ED444"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 xml:space="preserve">5.坦诚对待学生、学校提出的活动要求，发挥自身优势，优化学生活动条件，在接待、组织等环节不断完善；有稳定的联络人，保证沟通畅通 </w:t>
            </w:r>
          </w:p>
        </w:tc>
      </w:tr>
      <w:tr w:rsidR="00FA0907" w14:paraId="64D9E25C" w14:textId="77777777" w:rsidTr="00107A13">
        <w:trPr>
          <w:trHeight w:val="459"/>
          <w:jc w:val="center"/>
        </w:trPr>
        <w:tc>
          <w:tcPr>
            <w:tcW w:w="1163" w:type="pct"/>
            <w:vMerge/>
            <w:vAlign w:val="center"/>
          </w:tcPr>
          <w:p w14:paraId="42D8C445" w14:textId="77777777" w:rsidR="00FA0907" w:rsidRDefault="00FA0907" w:rsidP="00107A13">
            <w:pPr>
              <w:rPr>
                <w:rFonts w:ascii="仿宋" w:eastAsia="仿宋" w:hAnsi="仿宋" w:cs="仿宋"/>
              </w:rPr>
            </w:pPr>
          </w:p>
        </w:tc>
        <w:tc>
          <w:tcPr>
            <w:tcW w:w="509" w:type="pct"/>
            <w:vAlign w:val="center"/>
          </w:tcPr>
          <w:p w14:paraId="10EE75FE" w14:textId="77777777" w:rsidR="00FA0907" w:rsidRDefault="00FA0907" w:rsidP="00107A13">
            <w:pPr>
              <w:rPr>
                <w:rFonts w:ascii="仿宋" w:eastAsia="仿宋" w:hAnsi="仿宋" w:cs="仿宋"/>
                <w:szCs w:val="21"/>
              </w:rPr>
            </w:pPr>
            <w:r>
              <w:rPr>
                <w:rFonts w:ascii="仿宋" w:eastAsia="仿宋" w:hAnsi="仿宋" w:cs="仿宋" w:hint="eastAsia"/>
                <w:szCs w:val="21"/>
              </w:rPr>
              <w:t>10.优惠政策</w:t>
            </w:r>
          </w:p>
        </w:tc>
        <w:tc>
          <w:tcPr>
            <w:tcW w:w="3327" w:type="pct"/>
            <w:vAlign w:val="center"/>
          </w:tcPr>
          <w:p w14:paraId="27314C78"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1.对海淀区青少年学生团体活动能够免费或半价优惠，符合海淀</w:t>
            </w:r>
            <w:proofErr w:type="gramStart"/>
            <w:r>
              <w:rPr>
                <w:rFonts w:ascii="仿宋" w:eastAsia="仿宋" w:hAnsi="仿宋" w:cs="仿宋" w:hint="eastAsia"/>
                <w:szCs w:val="21"/>
              </w:rPr>
              <w:t>区经费</w:t>
            </w:r>
            <w:proofErr w:type="gramEnd"/>
            <w:r>
              <w:rPr>
                <w:rFonts w:ascii="仿宋" w:eastAsia="仿宋" w:hAnsi="仿宋" w:cs="仿宋" w:hint="eastAsia"/>
                <w:szCs w:val="21"/>
              </w:rPr>
              <w:t>要求</w:t>
            </w:r>
          </w:p>
          <w:p w14:paraId="294F5E1A" w14:textId="77777777" w:rsidR="00FA0907" w:rsidRDefault="00FA0907" w:rsidP="00107A13">
            <w:pPr>
              <w:tabs>
                <w:tab w:val="left" w:pos="420"/>
              </w:tabs>
              <w:rPr>
                <w:rFonts w:ascii="仿宋" w:eastAsia="仿宋" w:hAnsi="仿宋" w:cs="仿宋"/>
                <w:szCs w:val="21"/>
              </w:rPr>
            </w:pPr>
            <w:r>
              <w:rPr>
                <w:rFonts w:ascii="仿宋" w:eastAsia="仿宋" w:hAnsi="仿宋" w:cs="仿宋" w:hint="eastAsia"/>
                <w:szCs w:val="21"/>
              </w:rPr>
              <w:t>2.遵守对海淀区青少年学生校外教育工作联席办公室上报并公布的收费标准，如有变化务必提前告知</w:t>
            </w:r>
          </w:p>
        </w:tc>
      </w:tr>
    </w:tbl>
    <w:p w14:paraId="15CDD83D" w14:textId="77777777" w:rsidR="00FA0907" w:rsidRDefault="00FA0907" w:rsidP="00FA0907">
      <w:pPr>
        <w:rPr>
          <w:rFonts w:ascii="仿宋" w:eastAsia="仿宋" w:hAnsi="仿宋" w:cs="仿宋"/>
        </w:rPr>
      </w:pPr>
    </w:p>
    <w:p w14:paraId="14ED5675" w14:textId="77777777" w:rsidR="00FA0907" w:rsidRDefault="00FA0907" w:rsidP="00FA0907">
      <w:pPr>
        <w:spacing w:line="520" w:lineRule="exact"/>
        <w:rPr>
          <w:rFonts w:ascii="仿宋" w:eastAsia="仿宋" w:hAnsi="仿宋" w:cs="仿宋"/>
          <w:color w:val="333333"/>
          <w:kern w:val="0"/>
          <w:sz w:val="32"/>
          <w:szCs w:val="32"/>
        </w:rPr>
      </w:pPr>
    </w:p>
    <w:p w14:paraId="0A31E4DC" w14:textId="77777777" w:rsidR="00F76BF2" w:rsidRPr="00FA0907" w:rsidRDefault="00B510E0"/>
    <w:sectPr w:rsidR="00F76BF2" w:rsidRPr="00FA0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1E775" w14:textId="77777777" w:rsidR="00B510E0" w:rsidRDefault="00B510E0" w:rsidP="00FA0907">
      <w:r>
        <w:separator/>
      </w:r>
    </w:p>
  </w:endnote>
  <w:endnote w:type="continuationSeparator" w:id="0">
    <w:p w14:paraId="2FE3ACE0" w14:textId="77777777" w:rsidR="00B510E0" w:rsidRDefault="00B510E0" w:rsidP="00FA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BE81D" w14:textId="77777777" w:rsidR="00B510E0" w:rsidRDefault="00B510E0" w:rsidP="00FA0907">
      <w:r>
        <w:separator/>
      </w:r>
    </w:p>
  </w:footnote>
  <w:footnote w:type="continuationSeparator" w:id="0">
    <w:p w14:paraId="4644E8E4" w14:textId="77777777" w:rsidR="00B510E0" w:rsidRDefault="00B510E0" w:rsidP="00FA0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0D"/>
    <w:rsid w:val="0025350D"/>
    <w:rsid w:val="00421079"/>
    <w:rsid w:val="005E4E64"/>
    <w:rsid w:val="00B510E0"/>
    <w:rsid w:val="00FA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208691-BDB8-49A5-B233-ED260A37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9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9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A0907"/>
    <w:rPr>
      <w:sz w:val="18"/>
      <w:szCs w:val="18"/>
    </w:rPr>
  </w:style>
  <w:style w:type="paragraph" w:styleId="a5">
    <w:name w:val="footer"/>
    <w:basedOn w:val="a"/>
    <w:link w:val="a6"/>
    <w:uiPriority w:val="99"/>
    <w:unhideWhenUsed/>
    <w:rsid w:val="00FA09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A09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vaga bond</dc:creator>
  <cp:keywords/>
  <dc:description/>
  <cp:lastModifiedBy>vaga bond</cp:lastModifiedBy>
  <cp:revision>2</cp:revision>
  <dcterms:created xsi:type="dcterms:W3CDTF">2020-11-11T02:10:00Z</dcterms:created>
  <dcterms:modified xsi:type="dcterms:W3CDTF">2020-11-11T02:10:00Z</dcterms:modified>
</cp:coreProperties>
</file>