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6821A">
      <w:pPr>
        <w:jc w:val="center"/>
        <w:rPr>
          <w:rFonts w:ascii="黑体" w:eastAsia="黑体"/>
          <w:sz w:val="32"/>
          <w:szCs w:val="32"/>
        </w:rPr>
      </w:pPr>
      <w:r>
        <w:rPr>
          <w:rFonts w:hint="eastAsia" w:ascii="黑体" w:eastAsia="黑体"/>
          <w:sz w:val="32"/>
          <w:szCs w:val="32"/>
        </w:rPr>
        <w:t>第四部分  2024年度部门绩效自评情况</w:t>
      </w:r>
    </w:p>
    <w:p w14:paraId="5FD9DF48">
      <w:pPr>
        <w:pStyle w:val="3"/>
      </w:pPr>
    </w:p>
    <w:p w14:paraId="4457C411">
      <w:pPr>
        <w:pStyle w:val="11"/>
        <w:spacing w:line="580" w:lineRule="exact"/>
        <w:ind w:firstLine="0" w:firstLineChars="0"/>
        <w:rPr>
          <w:rFonts w:ascii="黑体" w:eastAsia="黑体"/>
          <w:sz w:val="28"/>
          <w:szCs w:val="28"/>
        </w:rPr>
      </w:pPr>
      <w:r>
        <w:rPr>
          <w:rFonts w:ascii="黑体" w:eastAsia="黑体"/>
          <w:sz w:val="28"/>
          <w:szCs w:val="28"/>
        </w:rPr>
        <w:t>一、</w:t>
      </w:r>
      <w:r>
        <w:rPr>
          <w:rFonts w:hint="eastAsia" w:ascii="黑体" w:eastAsia="黑体"/>
          <w:sz w:val="28"/>
          <w:szCs w:val="28"/>
        </w:rPr>
        <w:t>部门整体绩效自评报告</w:t>
      </w:r>
    </w:p>
    <w:p w14:paraId="7609A421">
      <w:pPr>
        <w:spacing w:line="580" w:lineRule="exact"/>
        <w:rPr>
          <w:rFonts w:ascii="黑体" w:eastAsia="黑体"/>
          <w:sz w:val="28"/>
          <w:szCs w:val="28"/>
        </w:rPr>
      </w:pPr>
      <w:r>
        <w:rPr>
          <w:rFonts w:hint="eastAsia" w:ascii="仿宋_GB2312" w:hAnsi="仿宋_GB2312" w:eastAsia="仿宋_GB2312" w:cs="仿宋_GB2312"/>
          <w:color w:val="000000"/>
          <w:kern w:val="0"/>
          <w:sz w:val="28"/>
          <w:szCs w:val="28"/>
        </w:rPr>
        <w:t>详见附件。</w:t>
      </w:r>
    </w:p>
    <w:p w14:paraId="6AEA6BAA">
      <w:pPr>
        <w:pStyle w:val="11"/>
        <w:spacing w:line="580" w:lineRule="exact"/>
        <w:ind w:firstLine="0" w:firstLineChars="0"/>
        <w:rPr>
          <w:rFonts w:ascii="黑体" w:eastAsia="黑体"/>
          <w:sz w:val="28"/>
          <w:szCs w:val="28"/>
        </w:rPr>
      </w:pPr>
      <w:r>
        <w:rPr>
          <w:rFonts w:ascii="黑体" w:eastAsia="黑体"/>
          <w:sz w:val="28"/>
          <w:szCs w:val="28"/>
        </w:rPr>
        <w:t>二、</w:t>
      </w:r>
      <w:r>
        <w:rPr>
          <w:rFonts w:hint="eastAsia" w:ascii="黑体" w:eastAsia="黑体"/>
          <w:sz w:val="28"/>
          <w:szCs w:val="28"/>
        </w:rPr>
        <w:t>项目支出绩效自评报告</w:t>
      </w:r>
    </w:p>
    <w:p w14:paraId="3E314554">
      <w:pPr>
        <w:spacing w:line="580" w:lineRule="exact"/>
        <w:rPr>
          <w:rFonts w:ascii="黑体" w:eastAsia="黑体"/>
          <w:sz w:val="28"/>
          <w:szCs w:val="28"/>
        </w:rPr>
      </w:pPr>
      <w:r>
        <w:rPr>
          <w:rFonts w:hint="eastAsia" w:ascii="仿宋_GB2312" w:hAnsi="仿宋_GB2312" w:eastAsia="仿宋_GB2312" w:cs="仿宋_GB2312"/>
          <w:color w:val="000000"/>
          <w:kern w:val="0"/>
          <w:sz w:val="28"/>
          <w:szCs w:val="28"/>
        </w:rPr>
        <w:t>详见附件。</w:t>
      </w:r>
    </w:p>
    <w:p w14:paraId="033D8900">
      <w:pPr>
        <w:pStyle w:val="11"/>
        <w:spacing w:line="580" w:lineRule="exact"/>
        <w:ind w:firstLine="0" w:firstLineChars="0"/>
        <w:rPr>
          <w:rFonts w:ascii="黑体" w:eastAsia="黑体"/>
          <w:sz w:val="28"/>
          <w:szCs w:val="28"/>
        </w:rPr>
      </w:pPr>
      <w:r>
        <w:rPr>
          <w:rFonts w:ascii="黑体" w:eastAsia="黑体"/>
          <w:sz w:val="28"/>
          <w:szCs w:val="28"/>
        </w:rPr>
        <w:t>三、</w:t>
      </w:r>
      <w:r>
        <w:rPr>
          <w:rFonts w:hint="eastAsia" w:ascii="黑体" w:eastAsia="黑体"/>
          <w:sz w:val="28"/>
          <w:szCs w:val="28"/>
        </w:rPr>
        <w:t>项目支出绩效自评表</w:t>
      </w:r>
    </w:p>
    <w:p w14:paraId="6ABD8489">
      <w:pPr>
        <w:tabs>
          <w:tab w:val="center" w:pos="6979"/>
        </w:tabs>
        <w:spacing w:before="217" w:beforeLines="50" w:after="217" w:afterLines="5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详见附件。</w:t>
      </w:r>
    </w:p>
    <w:p w14:paraId="03927D2D">
      <w:pPr>
        <w:rPr>
          <w:rFonts w:ascii="黑体" w:eastAsia="黑体"/>
          <w:sz w:val="32"/>
          <w:szCs w:val="32"/>
        </w:rPr>
      </w:pPr>
      <w:r>
        <w:rPr>
          <w:rFonts w:hint="eastAsia" w:ascii="仿宋_GB2312" w:eastAsia="仿宋_GB2312"/>
          <w:sz w:val="32"/>
          <w:szCs w:val="32"/>
        </w:rPr>
        <w:br w:type="page"/>
      </w:r>
      <w:r>
        <w:rPr>
          <w:rFonts w:hint="eastAsia" w:ascii="黑体" w:eastAsia="黑体"/>
          <w:sz w:val="32"/>
          <w:szCs w:val="32"/>
        </w:rPr>
        <w:t>附件6（单位公开）：</w:t>
      </w:r>
    </w:p>
    <w:p w14:paraId="25D8E611">
      <w:pPr>
        <w:jc w:val="center"/>
        <w:rPr>
          <w:rFonts w:ascii="黑体" w:eastAsia="黑体"/>
          <w:sz w:val="32"/>
          <w:szCs w:val="32"/>
        </w:rPr>
      </w:pPr>
    </w:p>
    <w:p w14:paraId="0CFECEEE">
      <w:pPr>
        <w:jc w:val="center"/>
        <w:rPr>
          <w:rFonts w:ascii="黑体" w:eastAsia="黑体"/>
          <w:sz w:val="32"/>
          <w:szCs w:val="32"/>
        </w:rPr>
      </w:pPr>
      <w:r>
        <w:rPr>
          <w:rFonts w:hint="eastAsia" w:ascii="黑体" w:eastAsia="黑体"/>
          <w:sz w:val="32"/>
          <w:szCs w:val="32"/>
        </w:rPr>
        <w:t>第四部分  2024年度部门绩效自评情况</w:t>
      </w:r>
    </w:p>
    <w:p w14:paraId="26552F25">
      <w:pPr>
        <w:pStyle w:val="3"/>
        <w:ind w:firstLine="0" w:firstLineChars="0"/>
      </w:pPr>
    </w:p>
    <w:p w14:paraId="2CFE5823">
      <w:pPr>
        <w:pStyle w:val="3"/>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此部分已于202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年8月29日XX（</w:t>
      </w:r>
      <w:r>
        <w:rPr>
          <w:rFonts w:hint="eastAsia" w:ascii="仿宋_GB2312" w:hAnsi="仿宋_GB2312" w:eastAsia="仿宋_GB2312" w:cs="仿宋_GB2312"/>
          <w:color w:val="000000"/>
          <w:sz w:val="32"/>
          <w:szCs w:val="32"/>
        </w:rPr>
        <w:t>部门</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2024年部门决算信息公开时公开。</w:t>
      </w:r>
      <w:bookmarkStart w:id="69" w:name="_GoBack"/>
      <w:bookmarkEnd w:id="69"/>
    </w:p>
    <w:p w14:paraId="34880B4F">
      <w:pPr>
        <w:spacing w:line="560" w:lineRule="exact"/>
        <w:rPr>
          <w:rFonts w:hint="eastAsia" w:ascii="黑体" w:hAnsi="黑体" w:eastAsia="黑体" w:cs="宋体"/>
          <w:kern w:val="44"/>
          <w:sz w:val="32"/>
          <w:szCs w:val="32"/>
          <w:lang w:bidi="ar"/>
        </w:rPr>
      </w:pPr>
      <w:r>
        <w:rPr>
          <w:rFonts w:hint="eastAsia" w:ascii="仿宋_GB2312" w:eastAsia="仿宋_GB2312"/>
          <w:sz w:val="32"/>
          <w:szCs w:val="32"/>
        </w:rPr>
        <w:br w:type="page"/>
      </w:r>
      <w:r>
        <w:rPr>
          <w:rFonts w:hint="eastAsia" w:ascii="黑体" w:hAnsi="黑体" w:eastAsia="黑体" w:cs="宋体"/>
          <w:kern w:val="44"/>
          <w:sz w:val="32"/>
          <w:szCs w:val="32"/>
          <w:lang w:bidi="ar"/>
        </w:rPr>
        <w:t>附件6-1：</w:t>
      </w:r>
    </w:p>
    <w:p w14:paraId="6226B24F">
      <w:pPr>
        <w:spacing w:line="560" w:lineRule="exact"/>
        <w:rPr>
          <w:rFonts w:hint="eastAsia" w:ascii="黑体" w:hAnsi="黑体" w:eastAsia="黑体" w:cs="宋体"/>
          <w:kern w:val="44"/>
          <w:sz w:val="32"/>
          <w:szCs w:val="32"/>
          <w:lang w:bidi="ar"/>
        </w:rPr>
      </w:pPr>
    </w:p>
    <w:p w14:paraId="284AB3CC">
      <w:pPr>
        <w:shd w:val="clear"/>
        <w:spacing w:line="560" w:lineRule="exact"/>
        <w:jc w:val="center"/>
        <w:outlineLvl w:val="0"/>
        <w:rPr>
          <w:rFonts w:hint="eastAsia" w:ascii="方正小标宋简体" w:eastAsia="方正小标宋简体"/>
          <w:sz w:val="36"/>
          <w:szCs w:val="36"/>
          <w:highlight w:val="none"/>
        </w:rPr>
      </w:pPr>
      <w:r>
        <w:rPr>
          <w:rFonts w:hint="eastAsia" w:ascii="方正小标宋简体" w:eastAsia="方正小标宋简体"/>
          <w:sz w:val="36"/>
          <w:szCs w:val="36"/>
          <w:highlight w:val="none"/>
          <w:lang w:val="en-US" w:eastAsia="zh-CN"/>
        </w:rPr>
        <w:t>北京市海淀区教育委员会</w:t>
      </w:r>
      <w:r>
        <w:rPr>
          <w:rFonts w:hint="eastAsia" w:ascii="方正小标宋简体" w:eastAsia="方正小标宋简体"/>
          <w:sz w:val="36"/>
          <w:szCs w:val="36"/>
          <w:highlight w:val="none"/>
        </w:rPr>
        <w:t>20</w:t>
      </w:r>
      <w:r>
        <w:rPr>
          <w:rFonts w:hint="eastAsia" w:ascii="方正小标宋简体" w:eastAsia="方正小标宋简体"/>
          <w:sz w:val="36"/>
          <w:szCs w:val="36"/>
          <w:highlight w:val="none"/>
          <w:lang w:val="en-US" w:eastAsia="zh-CN"/>
        </w:rPr>
        <w:t>24</w:t>
      </w:r>
      <w:r>
        <w:rPr>
          <w:rFonts w:hint="eastAsia" w:ascii="方正小标宋简体" w:eastAsia="方正小标宋简体"/>
          <w:sz w:val="36"/>
          <w:szCs w:val="36"/>
          <w:highlight w:val="none"/>
        </w:rPr>
        <w:t>年度部门整体支出</w:t>
      </w:r>
      <w:r>
        <w:rPr>
          <w:rFonts w:hint="eastAsia" w:ascii="方正小标宋简体" w:eastAsia="方正小标宋简体"/>
          <w:sz w:val="36"/>
          <w:szCs w:val="36"/>
          <w:highlight w:val="none"/>
        </w:rPr>
        <w:br w:type="textWrapping"/>
      </w:r>
      <w:r>
        <w:rPr>
          <w:rFonts w:hint="eastAsia" w:ascii="方正小标宋简体" w:eastAsia="方正小标宋简体"/>
          <w:sz w:val="36"/>
          <w:szCs w:val="36"/>
          <w:highlight w:val="none"/>
        </w:rPr>
        <w:t>绩效自评报告</w:t>
      </w:r>
    </w:p>
    <w:p w14:paraId="759D1877">
      <w:pPr>
        <w:shd w:val="clear"/>
        <w:jc w:val="center"/>
        <w:rPr>
          <w:rFonts w:ascii="仿宋_GB2312"/>
          <w:szCs w:val="30"/>
          <w:highlight w:val="none"/>
        </w:rPr>
      </w:pPr>
    </w:p>
    <w:p w14:paraId="07F290FD">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宋体"/>
          <w:color w:val="000000"/>
          <w:kern w:val="0"/>
          <w:sz w:val="32"/>
          <w:szCs w:val="32"/>
          <w:highlight w:val="none"/>
        </w:rPr>
      </w:pPr>
      <w:bookmarkStart w:id="0" w:name="_Toc1860577323"/>
      <w:r>
        <w:rPr>
          <w:rFonts w:hint="eastAsia" w:ascii="黑体" w:hAnsi="黑体" w:eastAsia="黑体" w:cs="宋体"/>
          <w:color w:val="000000"/>
          <w:kern w:val="0"/>
          <w:sz w:val="32"/>
          <w:szCs w:val="32"/>
          <w:highlight w:val="none"/>
        </w:rPr>
        <w:t>一、部门概况</w:t>
      </w:r>
      <w:bookmarkEnd w:id="0"/>
    </w:p>
    <w:p w14:paraId="56985E3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highlight w:val="none"/>
        </w:rPr>
      </w:pPr>
      <w:bookmarkStart w:id="1" w:name="_Toc1213683694"/>
      <w:r>
        <w:rPr>
          <w:rFonts w:hint="eastAsia" w:ascii="楷体_GB2312" w:eastAsia="楷体_GB2312"/>
          <w:sz w:val="32"/>
          <w:szCs w:val="32"/>
          <w:highlight w:val="none"/>
        </w:rPr>
        <w:t>（一）机构设置及职责工作任务情况</w:t>
      </w:r>
      <w:bookmarkEnd w:id="1"/>
    </w:p>
    <w:p w14:paraId="51F56BEE">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rPr>
      </w:pPr>
      <w:bookmarkStart w:id="2" w:name="_Toc1582165852"/>
      <w:r>
        <w:rPr>
          <w:rFonts w:hint="eastAsia" w:ascii="仿宋_GB2312" w:hAnsi="仿宋_GB2312" w:eastAsia="仿宋_GB2312" w:cs="仿宋_GB2312"/>
          <w:sz w:val="32"/>
          <w:szCs w:val="22"/>
          <w:highlight w:val="none"/>
        </w:rPr>
        <w:t>1.部门机构设置</w:t>
      </w:r>
      <w:bookmarkEnd w:id="2"/>
    </w:p>
    <w:p w14:paraId="47C55490">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北京市海淀区教育委员会（以下简称“区教委”）部门机构设置包括教委机关及所属中小学、幼儿园、直属单位共计21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个，其中行政单位1个，为北京市海淀区教育委员会（本级），全额拨款事业单位21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个，包括小学82个，中学6</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个，幼儿园2</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个，职业高中2个，特殊教育学校1个，工读学校1个，直属单位12个，活动中心8个，教辅中心1个，学区17个。相比202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年新建校2所，包括北京市海淀区学府幼儿园和首都师范大学附属中学科学城学校。具体名单如下：</w:t>
      </w:r>
    </w:p>
    <w:p w14:paraId="275CEB89">
      <w:pPr>
        <w:keepNext w:val="0"/>
        <w:keepLines w:val="0"/>
        <w:pageBreakBefore w:val="0"/>
        <w:widowControl w:val="0"/>
        <w:shd w:val="clear"/>
        <w:kinsoku/>
        <w:wordWrap/>
        <w:overflowPunct/>
        <w:topLinePunct w:val="0"/>
        <w:autoSpaceDE/>
        <w:autoSpaceDN/>
        <w:bidi w:val="0"/>
        <w:spacing w:line="560" w:lineRule="exact"/>
        <w:jc w:val="center"/>
        <w:textAlignment w:val="auto"/>
        <w:rPr>
          <w:rFonts w:ascii="黑体" w:hAnsi="黑体" w:eastAsia="黑体"/>
          <w:sz w:val="28"/>
          <w:szCs w:val="28"/>
          <w:highlight w:val="none"/>
        </w:rPr>
      </w:pPr>
      <w:r>
        <w:rPr>
          <w:rFonts w:hint="eastAsia" w:ascii="黑体" w:hAnsi="黑体" w:eastAsia="黑体"/>
          <w:sz w:val="28"/>
          <w:szCs w:val="28"/>
          <w:highlight w:val="none"/>
        </w:rPr>
        <w:t>表1：区教委所属预算单位</w:t>
      </w:r>
    </w:p>
    <w:tbl>
      <w:tblPr>
        <w:tblStyle w:val="7"/>
        <w:tblW w:w="897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9"/>
        <w:gridCol w:w="4039"/>
        <w:gridCol w:w="677"/>
        <w:gridCol w:w="3595"/>
      </w:tblGrid>
      <w:tr w14:paraId="69B41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trPr>
        <w:tc>
          <w:tcPr>
            <w:tcW w:w="65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7538B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b/>
                <w:bCs/>
                <w:i w:val="0"/>
                <w:iCs w:val="0"/>
                <w:color w:val="404040"/>
                <w:sz w:val="20"/>
                <w:szCs w:val="20"/>
                <w:highlight w:val="none"/>
                <w:u w:val="none"/>
              </w:rPr>
            </w:pPr>
            <w:r>
              <w:rPr>
                <w:rFonts w:hint="eastAsia" w:asciiTheme="minorEastAsia" w:hAnsiTheme="minorEastAsia" w:eastAsiaTheme="minorEastAsia" w:cstheme="minorEastAsia"/>
                <w:b/>
                <w:bCs/>
                <w:i w:val="0"/>
                <w:iCs w:val="0"/>
                <w:color w:val="404040"/>
                <w:kern w:val="0"/>
                <w:sz w:val="20"/>
                <w:szCs w:val="20"/>
                <w:highlight w:val="none"/>
                <w:u w:val="none"/>
                <w:lang w:val="en-US" w:eastAsia="zh-CN" w:bidi="ar"/>
              </w:rPr>
              <w:t>序号</w:t>
            </w:r>
          </w:p>
        </w:tc>
        <w:tc>
          <w:tcPr>
            <w:tcW w:w="4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D24A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b/>
                <w:bCs/>
                <w:i w:val="0"/>
                <w:iCs w:val="0"/>
                <w:color w:val="404040"/>
                <w:sz w:val="20"/>
                <w:szCs w:val="20"/>
                <w:highlight w:val="none"/>
                <w:u w:val="none"/>
              </w:rPr>
            </w:pPr>
            <w:r>
              <w:rPr>
                <w:rFonts w:hint="eastAsia" w:asciiTheme="minorEastAsia" w:hAnsiTheme="minorEastAsia" w:eastAsiaTheme="minorEastAsia" w:cstheme="minorEastAsia"/>
                <w:b/>
                <w:bCs/>
                <w:i w:val="0"/>
                <w:iCs w:val="0"/>
                <w:color w:val="404040"/>
                <w:kern w:val="0"/>
                <w:sz w:val="20"/>
                <w:szCs w:val="20"/>
                <w:highlight w:val="none"/>
                <w:u w:val="none"/>
                <w:lang w:val="en-US" w:eastAsia="zh-CN" w:bidi="ar"/>
              </w:rPr>
              <w:t>单位名称</w:t>
            </w:r>
          </w:p>
        </w:tc>
        <w:tc>
          <w:tcPr>
            <w:tcW w:w="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9E2DA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b/>
                <w:bCs/>
                <w:i w:val="0"/>
                <w:iCs w:val="0"/>
                <w:color w:val="404040"/>
                <w:sz w:val="20"/>
                <w:szCs w:val="20"/>
                <w:highlight w:val="none"/>
                <w:u w:val="none"/>
              </w:rPr>
            </w:pPr>
            <w:r>
              <w:rPr>
                <w:rFonts w:hint="eastAsia" w:asciiTheme="minorEastAsia" w:hAnsiTheme="minorEastAsia" w:eastAsiaTheme="minorEastAsia" w:cstheme="minorEastAsia"/>
                <w:b/>
                <w:bCs/>
                <w:i w:val="0"/>
                <w:iCs w:val="0"/>
                <w:color w:val="404040"/>
                <w:kern w:val="0"/>
                <w:sz w:val="20"/>
                <w:szCs w:val="20"/>
                <w:highlight w:val="none"/>
                <w:u w:val="none"/>
                <w:lang w:val="en-US" w:eastAsia="zh-CN" w:bidi="ar"/>
              </w:rPr>
              <w:t>序号</w:t>
            </w:r>
          </w:p>
        </w:tc>
        <w:tc>
          <w:tcPr>
            <w:tcW w:w="35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267C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b/>
                <w:bCs/>
                <w:i w:val="0"/>
                <w:iCs w:val="0"/>
                <w:color w:val="404040"/>
                <w:sz w:val="20"/>
                <w:szCs w:val="20"/>
                <w:highlight w:val="none"/>
                <w:u w:val="none"/>
              </w:rPr>
            </w:pPr>
            <w:r>
              <w:rPr>
                <w:rFonts w:hint="eastAsia" w:asciiTheme="minorEastAsia" w:hAnsiTheme="minorEastAsia" w:eastAsiaTheme="minorEastAsia" w:cstheme="minorEastAsia"/>
                <w:b/>
                <w:bCs/>
                <w:i w:val="0"/>
                <w:iCs w:val="0"/>
                <w:color w:val="404040"/>
                <w:kern w:val="0"/>
                <w:sz w:val="20"/>
                <w:szCs w:val="20"/>
                <w:highlight w:val="none"/>
                <w:u w:val="none"/>
                <w:lang w:val="en-US" w:eastAsia="zh-CN" w:bidi="ar"/>
              </w:rPr>
              <w:t>单位名称</w:t>
            </w:r>
          </w:p>
        </w:tc>
      </w:tr>
      <w:tr w14:paraId="3064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EAA21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8931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北京市海淀区教育委员会（本级）</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8B19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A022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中国人民大学附属中学实验小学</w:t>
            </w:r>
          </w:p>
        </w:tc>
      </w:tr>
      <w:tr w14:paraId="7D3DB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283EA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CCFB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北京市海淀区教育招生和考试中心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3CAB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4180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北京市海淀区西颐小学</w:t>
            </w:r>
          </w:p>
        </w:tc>
      </w:tr>
      <w:tr w14:paraId="1F652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AFFCA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CE2D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北京市海淀区教育科学研究院</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AABA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0452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北京市海淀区双榆树第一小学</w:t>
            </w:r>
          </w:p>
        </w:tc>
      </w:tr>
      <w:tr w14:paraId="02355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BAC00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F59D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北京市海淀区教育装备资产和财务核算中心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5F9F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76E35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北京市海淀区双榆树中心小学</w:t>
            </w:r>
          </w:p>
        </w:tc>
      </w:tr>
      <w:tr w14:paraId="6F0D7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0FD7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BFA9B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北京市海淀区教师进修学校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B330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0C59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北京市海淀区中关村第四小学</w:t>
            </w:r>
          </w:p>
        </w:tc>
      </w:tr>
      <w:tr w14:paraId="5109E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EF3DE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85B4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中关村学院</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78610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EE21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北京市海淀区星火小学</w:t>
            </w:r>
          </w:p>
        </w:tc>
      </w:tr>
      <w:tr w14:paraId="480AD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89AEB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5F49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北京市海淀区教育人才服务中心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642D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0B15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北京邮电大学附属小学</w:t>
            </w:r>
          </w:p>
        </w:tc>
      </w:tr>
      <w:tr w14:paraId="2273F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ED3F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2547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北京市海淀区体育运动与卫生健康促进中心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B82C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01FD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北京交通大学附属小学</w:t>
            </w:r>
          </w:p>
        </w:tc>
      </w:tr>
      <w:tr w14:paraId="2513A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261D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0388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北京市海淀区教育融媒体中心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E32F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DCCCE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中国农业科学院附属小学</w:t>
            </w:r>
          </w:p>
        </w:tc>
      </w:tr>
      <w:tr w14:paraId="7C109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7A8D0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B805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北京市海淀区中小学干部研修中心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3B02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AB80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北京医科大学附属小学</w:t>
            </w:r>
          </w:p>
        </w:tc>
      </w:tr>
      <w:tr w14:paraId="3B52C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1BE7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0EC32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北京市海淀区中小学综合实践教育中心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B61C1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62BF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北京市海淀区九一小学</w:t>
            </w:r>
          </w:p>
        </w:tc>
      </w:tr>
      <w:tr w14:paraId="47A0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92F8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D9C4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北京市海淀区教育环境综合治理中心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DD64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119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5DF1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北京市海淀区前进小学</w:t>
            </w:r>
          </w:p>
        </w:tc>
      </w:tr>
      <w:tr w14:paraId="18E42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A2BBF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0CB25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北京市海淀区特殊教育研究与指导中心</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42CD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B2F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北京市海淀区民族小学</w:t>
            </w:r>
          </w:p>
        </w:tc>
      </w:tr>
      <w:tr w14:paraId="2ECB8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8F15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003B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北京市第十九中学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7684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0147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北京市海淀区学院路小学</w:t>
            </w:r>
          </w:p>
        </w:tc>
      </w:tr>
      <w:tr w14:paraId="5DA8B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69C6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03E1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北京市第二十中学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5869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A4AA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北京市海淀区西苑小学</w:t>
            </w:r>
          </w:p>
        </w:tc>
      </w:tr>
      <w:tr w14:paraId="5BC2D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C4DE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2AD1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北京市第四十七中学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5F594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32DD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北京市海淀区培星小学</w:t>
            </w:r>
          </w:p>
        </w:tc>
      </w:tr>
      <w:tr w14:paraId="1BE98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9B446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962E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北京市第五十七中学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BD79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C49CF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北京大学附属小学肖家河分校</w:t>
            </w:r>
          </w:p>
        </w:tc>
      </w:tr>
      <w:tr w14:paraId="50B0E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2534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0DC5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北京市八一学校附属玉泉中学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CA893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03F7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北京市海淀区中关村第二小学</w:t>
            </w:r>
          </w:p>
        </w:tc>
      </w:tr>
      <w:tr w14:paraId="0139E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72AA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E4C8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北京市第九十九中学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3C99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5DE2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北京市海淀区上地实验小学</w:t>
            </w:r>
          </w:p>
        </w:tc>
      </w:tr>
      <w:tr w14:paraId="083D2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9C52F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2965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北京市第一0一中学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DDE4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1723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清华大学附属中学上地小学</w:t>
            </w:r>
          </w:p>
        </w:tc>
      </w:tr>
      <w:tr w14:paraId="21B95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87C4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0393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北京交通大学附属中学第二分校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6F113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6282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北京市海淀区中关村第二小学万泉河分校</w:t>
            </w:r>
          </w:p>
        </w:tc>
      </w:tr>
      <w:tr w14:paraId="0068F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7DA7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78B1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北京师范大学第三附属中学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1B3B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129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F0D0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北京市海淀区六郎庄小学</w:t>
            </w:r>
          </w:p>
        </w:tc>
      </w:tr>
      <w:tr w14:paraId="21190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0519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5AB85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北京市十一学校一分校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8660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8BD15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北京市海淀区定慧里小学</w:t>
            </w:r>
          </w:p>
        </w:tc>
      </w:tr>
      <w:tr w14:paraId="044FF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D855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959E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北京市八一学校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1010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4AD5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北京市海淀区六一小学</w:t>
            </w:r>
          </w:p>
        </w:tc>
      </w:tr>
      <w:tr w14:paraId="17ABE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CF20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AF96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北京市十一学校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8C9E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D6AF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北京市海淀区花园村第二小学</w:t>
            </w:r>
          </w:p>
        </w:tc>
      </w:tr>
      <w:tr w14:paraId="70572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45C6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33DE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中国地质大学附属中学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DA67C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AB8F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北京市海淀区八里庄小学</w:t>
            </w:r>
          </w:p>
        </w:tc>
      </w:tr>
      <w:tr w14:paraId="7FBAD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A77F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E271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北京交通大学附属中学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B86B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63B3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中国人民大学附属小学亮甲店分校</w:t>
            </w:r>
          </w:p>
        </w:tc>
      </w:tr>
      <w:tr w14:paraId="2916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FB88E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2820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北京医学院附属中学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0294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A3513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北京市海淀区实验小学</w:t>
            </w:r>
          </w:p>
        </w:tc>
      </w:tr>
      <w:tr w14:paraId="5D7F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2F2E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6988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北京一零一中石油分校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2DDCD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9DCA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首都师范大学实验小学</w:t>
            </w:r>
          </w:p>
        </w:tc>
      </w:tr>
      <w:tr w14:paraId="06804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12A8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0CE0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北京科技大学附属中学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D4FF0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D92C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北京外国语大学附属小学</w:t>
            </w:r>
          </w:p>
        </w:tc>
      </w:tr>
      <w:tr w14:paraId="6F9CE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AA4C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EE0E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北京一零一中矿大分校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96D7E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B6AB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北京市海淀区翠微小学</w:t>
            </w:r>
          </w:p>
        </w:tc>
      </w:tr>
      <w:tr w14:paraId="5AF77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3779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6966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北京理工大学附属中学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FA58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139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2CEC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北京市海淀区羊坊店中心小学</w:t>
            </w:r>
          </w:p>
        </w:tc>
      </w:tr>
      <w:tr w14:paraId="5BBB0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26BC1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FF6E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中国农业大学附属中学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3BA5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B287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北京市海淀区羊坊店第四小学</w:t>
            </w:r>
          </w:p>
        </w:tc>
      </w:tr>
      <w:tr w14:paraId="4DC6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DEBE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6C79A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北京市中关村中学知春分校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14798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8AE2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北京市海淀区七一小学</w:t>
            </w:r>
          </w:p>
        </w:tc>
      </w:tr>
      <w:tr w14:paraId="6F63D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F210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15B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人大附中西山学校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0EAE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9E2C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北京石油学院附属小学</w:t>
            </w:r>
          </w:p>
        </w:tc>
      </w:tr>
      <w:tr w14:paraId="73980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4F8A1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F13D4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北京市西颐实验学校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436E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6075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北京市海淀区清华东路小学</w:t>
            </w:r>
          </w:p>
        </w:tc>
      </w:tr>
      <w:tr w14:paraId="69E4E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3763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1B47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北京航空航天大学实验学校分校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E302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92716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北京市海淀区第三实验小学</w:t>
            </w:r>
          </w:p>
        </w:tc>
      </w:tr>
      <w:tr w14:paraId="25653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2C70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8398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北京交通大学附属中学分校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64E03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0C154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中国农业大学附属实验小学</w:t>
            </w:r>
          </w:p>
        </w:tc>
      </w:tr>
      <w:tr w14:paraId="0E012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DD76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39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AD22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北京外国语大学附属中学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079F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E779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北京市海淀区东升实验小学</w:t>
            </w:r>
          </w:p>
        </w:tc>
      </w:tr>
      <w:tr w14:paraId="16D22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AC30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4D319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中国人民大学附属中学第二分校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0F0A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5FF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清华大学附属小学清河分校</w:t>
            </w:r>
          </w:p>
        </w:tc>
      </w:tr>
      <w:tr w14:paraId="152C5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059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56BA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首都师范大学附属中学第一分校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B7D8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FE79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北京市海淀区第二实验小学</w:t>
            </w:r>
          </w:p>
        </w:tc>
      </w:tr>
      <w:tr w14:paraId="1F310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6498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46A3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北京市海淀区教师进修附属实验香山分校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D472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149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E79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北京市海淀区清河第四小学</w:t>
            </w:r>
          </w:p>
        </w:tc>
      </w:tr>
      <w:tr w14:paraId="587CA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A147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3A43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北京市中关村中学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4B10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5300E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北京市海淀区育鹰小学</w:t>
            </w:r>
          </w:p>
        </w:tc>
      </w:tr>
      <w:tr w14:paraId="20BD4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8BDB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CB9D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北京市清河中学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6952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C263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北京市海淀区永泰小学</w:t>
            </w:r>
          </w:p>
        </w:tc>
      </w:tr>
      <w:tr w14:paraId="4EF0C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EBDE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5CD8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北京市玉渊潭中学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01EB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4B3A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北京市海淀区枫丹实验小学</w:t>
            </w:r>
          </w:p>
        </w:tc>
      </w:tr>
      <w:tr w14:paraId="7CDCC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F037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0E4A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首都师范大学第二附属中学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0853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8596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北京石油学院附属实验小学</w:t>
            </w:r>
          </w:p>
        </w:tc>
      </w:tr>
      <w:tr w14:paraId="70120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0D3B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BF309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中国人民大学附属中学翠微学校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2AE4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2089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北京石油学院附属第二实验小学</w:t>
            </w:r>
          </w:p>
        </w:tc>
      </w:tr>
      <w:tr w14:paraId="1D3D7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53F3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7BF0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北京十一实验中学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5508E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349B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北京市海淀区太平路小学</w:t>
            </w:r>
          </w:p>
        </w:tc>
      </w:tr>
      <w:tr w14:paraId="36A2C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463E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49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A5CF5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北京市育英中学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36A3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0498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北京市海淀区五一小学</w:t>
            </w:r>
          </w:p>
        </w:tc>
      </w:tr>
      <w:tr w14:paraId="77C09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A4C1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3B3B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北京实验学校（海淀）</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8217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6CAD5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北京市海淀区图强第二小学</w:t>
            </w:r>
          </w:p>
        </w:tc>
      </w:tr>
      <w:tr w14:paraId="725C9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58C4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BF6A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北京市海淀实验中学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AFC02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A123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北京市海淀区培英小学</w:t>
            </w:r>
          </w:p>
        </w:tc>
      </w:tr>
      <w:tr w14:paraId="02416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CB17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2509D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北京市育英学校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7CB9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159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B344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北京市海淀区玉泉小学</w:t>
            </w:r>
          </w:p>
        </w:tc>
      </w:tr>
      <w:tr w14:paraId="47017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EED4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6A5CA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北京市育鸿学校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3767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3BB9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北京教育学院附属海淀实验小学</w:t>
            </w:r>
          </w:p>
        </w:tc>
      </w:tr>
      <w:tr w14:paraId="0AB1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C217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5B270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清华大学附属中学永丰学校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FDB7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84FF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北京市海淀区教师进修学校附属实验小学</w:t>
            </w:r>
          </w:p>
        </w:tc>
      </w:tr>
      <w:tr w14:paraId="24FEC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2476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47D4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北京中法实验学校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4728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67F3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北京市海淀区四王府小学</w:t>
            </w:r>
          </w:p>
        </w:tc>
      </w:tr>
      <w:tr w14:paraId="799A4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BB07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42138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北京市第五十七中学上庄分校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26A0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D7604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北京市海淀区香山小学</w:t>
            </w:r>
          </w:p>
        </w:tc>
      </w:tr>
      <w:tr w14:paraId="21652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8249A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77C1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清华附中上庄学校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8987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1A44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北京市海淀区第四实验小学</w:t>
            </w:r>
          </w:p>
        </w:tc>
      </w:tr>
      <w:tr w14:paraId="714D9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A8F8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EF834">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北京市海淀北部新区实验学校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089E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9EED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首都师范大学附属小学</w:t>
            </w:r>
          </w:p>
        </w:tc>
      </w:tr>
      <w:tr w14:paraId="34349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9953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59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B069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清华大学附属中学上地学校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B9E7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1084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中国人民大学附属小学银燕分校</w:t>
            </w:r>
          </w:p>
        </w:tc>
      </w:tr>
      <w:tr w14:paraId="226F7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63DC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107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北京市十一学校龙樾实验中学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2CD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46CD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北京市海淀区和平小学</w:t>
            </w:r>
          </w:p>
        </w:tc>
      </w:tr>
      <w:tr w14:paraId="5D88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357B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46B8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北京市海淀区教师进修学校附属实验学校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B25E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401A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北京市海淀区台头小学</w:t>
            </w:r>
          </w:p>
        </w:tc>
      </w:tr>
      <w:tr w14:paraId="28FE5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CF54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3A79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北京市上地实验学校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2D95E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169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93B3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北京市海淀区北安河中心小学</w:t>
            </w:r>
          </w:p>
        </w:tc>
      </w:tr>
      <w:tr w14:paraId="27EF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A775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54AB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北京市第二十中学附属实验学校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1ACE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E868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北京市海淀区苏家坨中心小学</w:t>
            </w:r>
          </w:p>
        </w:tc>
      </w:tr>
      <w:tr w14:paraId="0C272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D3E4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F0EA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首都师范大学附属玉泉学校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BEA5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CB57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北京市海淀区翠湖小学</w:t>
            </w:r>
          </w:p>
        </w:tc>
      </w:tr>
      <w:tr w14:paraId="12C2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E18F6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1B4B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人大附中航天城学校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F5B5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D59B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北京市海淀区红英小学</w:t>
            </w:r>
          </w:p>
        </w:tc>
      </w:tr>
      <w:tr w14:paraId="347A8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83A6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E83C4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北京十一晋元中学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C9C1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7852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北京市海淀区中关村第三小学科技园分校</w:t>
            </w:r>
          </w:p>
        </w:tc>
      </w:tr>
      <w:tr w14:paraId="1323D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117B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DD28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北大附中西三旗学校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EDED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E911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中国农业大学附属小学</w:t>
            </w:r>
          </w:p>
        </w:tc>
      </w:tr>
      <w:tr w14:paraId="1E5D5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EAA7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3923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北师大二附中海淀学校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563C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0C1D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北京市海淀区中关村第一小学西二旗分校</w:t>
            </w:r>
          </w:p>
        </w:tc>
      </w:tr>
      <w:tr w14:paraId="2EED3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DCBB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69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5319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北大附中新馨学校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FEC0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FFB7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北京市海淀区永丰中心小学</w:t>
            </w:r>
          </w:p>
        </w:tc>
      </w:tr>
      <w:tr w14:paraId="73AD3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FCB9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55CF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北京十一中关村科学城学校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2019F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7BFFC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北京市海淀区上庄中心小学</w:t>
            </w:r>
          </w:p>
        </w:tc>
      </w:tr>
      <w:tr w14:paraId="4E695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5B49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5684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北京市育英学校科学城学校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A7B4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85E1A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北京市海淀区东北旺中心小学</w:t>
            </w:r>
          </w:p>
        </w:tc>
      </w:tr>
      <w:tr w14:paraId="31BF1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DBAA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6B29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中国人民大学附属中学分校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4983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179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FD09F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北京铁路实验小学</w:t>
            </w:r>
          </w:p>
        </w:tc>
      </w:tr>
      <w:tr w14:paraId="1D6DF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B191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EF02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北京理工大学附属中学分校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785B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725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北京市海淀区翠微小学温泉分校</w:t>
            </w:r>
          </w:p>
        </w:tc>
      </w:tr>
      <w:tr w14:paraId="76623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18CA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F6B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北京市建华实验学校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132CB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9273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北京教育科学研究院实验小学</w:t>
            </w:r>
          </w:p>
        </w:tc>
      </w:tr>
      <w:tr w14:paraId="5E933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2B25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0C31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北京外国语大学附属外国语学校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DBA7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802D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北京市海淀区中关村第二小学科学城北区分校</w:t>
            </w:r>
          </w:p>
        </w:tc>
      </w:tr>
      <w:tr w14:paraId="63411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63D4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52E98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北京市信息管理学校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85D2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5324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北京市海淀区中关村第一小学科学城分校</w:t>
            </w:r>
          </w:p>
        </w:tc>
      </w:tr>
      <w:tr w14:paraId="5C7DC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3625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7629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北京市海淀工读学校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0FD6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0BB64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北京市海淀区五一未来实验小学</w:t>
            </w:r>
          </w:p>
        </w:tc>
      </w:tr>
      <w:tr w14:paraId="4078F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A0BA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984F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北京市健翔学校</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F2A3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E8C0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北京市海淀区实验小学紫竹分校</w:t>
            </w:r>
          </w:p>
        </w:tc>
      </w:tr>
      <w:tr w14:paraId="3865B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488D7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79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AF4E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北京市海淀区七一小学附属实验幼儿园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B53F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2516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北京市海淀区青少年活动管理中心</w:t>
            </w:r>
          </w:p>
        </w:tc>
      </w:tr>
      <w:tr w14:paraId="783F7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3392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572D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北京市海淀区唐家岭新城幼儿园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D1451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ED2F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北京市海淀区青龙桥青少年活动中心</w:t>
            </w:r>
          </w:p>
        </w:tc>
      </w:tr>
      <w:tr w14:paraId="28F5B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85862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F565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北京市海淀区上庄科技园区幼儿园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427D7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94635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北京市海淀区海淀学区教育教学辅助中心</w:t>
            </w:r>
          </w:p>
        </w:tc>
      </w:tr>
      <w:tr w14:paraId="67B4A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251F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B578E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北京市海淀区立新幼儿园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10DA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189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8E4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北京市海淀区东升青少年活动中心</w:t>
            </w:r>
          </w:p>
        </w:tc>
      </w:tr>
      <w:tr w14:paraId="17A45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F1F22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A416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北京市海淀新区恩济幼儿园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40BD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BA1D6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北京市海淀区海淀青少年活动中心</w:t>
            </w:r>
          </w:p>
        </w:tc>
      </w:tr>
      <w:tr w14:paraId="1B22A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39B65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71D05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北京市海淀区富力桃园幼儿园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AF70B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BAC82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北京市海淀区青少年科技活动中心</w:t>
            </w:r>
          </w:p>
        </w:tc>
      </w:tr>
      <w:tr w14:paraId="16A65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0B44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6B99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北京市海淀区颐慧佳园幼儿园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E3307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4A511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北京市海淀区清河青少年活动中心</w:t>
            </w:r>
          </w:p>
        </w:tc>
      </w:tr>
      <w:tr w14:paraId="74BB5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8561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8350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北京市海淀区苏家坨镇幼儿园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C12F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AD74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北京市海淀区万寿路青少年活动中心</w:t>
            </w:r>
          </w:p>
        </w:tc>
      </w:tr>
      <w:tr w14:paraId="13237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E116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9A752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北京市海淀区北部新区实验幼儿园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DABF5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0395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北京市海淀区四季青青少年活动中心</w:t>
            </w:r>
          </w:p>
        </w:tc>
      </w:tr>
      <w:tr w14:paraId="629B7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730C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3709E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北京市海淀区美和园幼儿园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7019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948D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北京市海淀区上地学区管理中心</w:t>
            </w:r>
          </w:p>
        </w:tc>
      </w:tr>
      <w:tr w14:paraId="52663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CA47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89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DD80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北京市六一幼儿园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AF74A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C833D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北京市海淀区中关村学区管理中心</w:t>
            </w:r>
          </w:p>
        </w:tc>
      </w:tr>
      <w:tr w14:paraId="0BD33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15A3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C5C73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北京市海淀区恩济里幼儿园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2D49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B0289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北京市海淀区八里庄学区管理中心</w:t>
            </w:r>
          </w:p>
        </w:tc>
      </w:tr>
      <w:tr w14:paraId="1D60E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7F67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2697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北京明天幼稚集团</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CB46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6C8C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北京市海淀区北太平庄学区管理中心</w:t>
            </w:r>
          </w:p>
        </w:tc>
      </w:tr>
      <w:tr w14:paraId="5417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D139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60EB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北京市海淀区民族幼儿园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07C3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199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48D0A">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北京市海淀区永定路学区管理中心</w:t>
            </w:r>
          </w:p>
        </w:tc>
      </w:tr>
      <w:tr w14:paraId="2C09A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FFE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221D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北京十一晋元幼儿园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AB2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7BF4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北京市海淀区清河学区管理中心</w:t>
            </w:r>
          </w:p>
        </w:tc>
      </w:tr>
      <w:tr w14:paraId="2EE84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42E3D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6EB6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北京中外友好幼儿院</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C4358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E0E1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北京市海淀区西三旗学区管理中心</w:t>
            </w:r>
          </w:p>
        </w:tc>
      </w:tr>
      <w:tr w14:paraId="12B07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B636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044E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北京市海淀区恩济里体大幼儿园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24BE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BE42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北京市海淀区海淀学区管理中心</w:t>
            </w:r>
          </w:p>
        </w:tc>
      </w:tr>
      <w:tr w14:paraId="15628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5EF5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D2A0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北京一零一中实验幼儿园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4F118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818B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北京市海淀区花园路学区管理中心</w:t>
            </w:r>
          </w:p>
        </w:tc>
      </w:tr>
      <w:tr w14:paraId="279BC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2A8D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550BA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北京市海淀区实验幼儿园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6538B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4E16E">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北京市海淀区青龙桥学区管理中心</w:t>
            </w:r>
          </w:p>
        </w:tc>
      </w:tr>
      <w:tr w14:paraId="4542E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23E2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98</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A2275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北京市海淀区成志幼儿园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2E87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205</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CBD4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北京市海淀区紫竹院学区管理中心</w:t>
            </w:r>
          </w:p>
        </w:tc>
      </w:tr>
      <w:tr w14:paraId="6B1B4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A7DE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99</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32AA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北京市海淀区中关村第二小学科学城北区幼儿园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D087A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206</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33810">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北京市海淀区羊坊店学区管理中心</w:t>
            </w:r>
          </w:p>
        </w:tc>
      </w:tr>
      <w:tr w14:paraId="3F45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AA44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100</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F690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北京市海淀区红英阳光幼儿园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C5862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207</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A641A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北京市海淀区学院路学区管理中心</w:t>
            </w:r>
          </w:p>
        </w:tc>
      </w:tr>
      <w:tr w14:paraId="2525F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087B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101</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C07B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北京市六一幼儿园党校园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AFE7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208</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A7CD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北京市海淀区万寿路学区管理中心</w:t>
            </w:r>
          </w:p>
        </w:tc>
      </w:tr>
      <w:tr w14:paraId="3F09E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13AF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102</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D7FBE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北京市六一幼儿园科学城园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7A4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209</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6B28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北京市海淀区四季青学区管理中心</w:t>
            </w:r>
          </w:p>
        </w:tc>
      </w:tr>
      <w:tr w14:paraId="30C9A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5A3C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103</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1C25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北京市海淀区科学城北区童心家园幼儿园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D810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210</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7471D">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北京市海淀区温泉苏家坨学区管理中心</w:t>
            </w:r>
          </w:p>
        </w:tc>
      </w:tr>
      <w:tr w14:paraId="516BB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E6AF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104</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E69FA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北京市海淀区科学城北区实验幼儿园</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FAC14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211</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D941C">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北京市海淀区上庄西北旺学区管理中心</w:t>
            </w:r>
          </w:p>
        </w:tc>
      </w:tr>
      <w:tr w14:paraId="6868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96B6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105</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C8B959">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北京市海淀区中关村第一小学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4FADF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212</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97030A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bottom"/>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北京市第二实验小学安宁分校</w:t>
            </w:r>
          </w:p>
        </w:tc>
      </w:tr>
      <w:tr w14:paraId="3AAEE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9B0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106</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5CD7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北京市海淀区中关村第三小学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C5443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213</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A0710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北京市海淀区学府幼儿园</w:t>
            </w:r>
          </w:p>
        </w:tc>
      </w:tr>
      <w:tr w14:paraId="34B1E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A91C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107</w:t>
            </w:r>
          </w:p>
        </w:tc>
        <w:tc>
          <w:tcPr>
            <w:tcW w:w="40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E7BB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北京市海淀区万泉小学</w:t>
            </w:r>
          </w:p>
        </w:tc>
        <w:tc>
          <w:tcPr>
            <w:tcW w:w="6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89B52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214</w:t>
            </w:r>
          </w:p>
        </w:tc>
        <w:tc>
          <w:tcPr>
            <w:tcW w:w="35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50C6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Theme="minorEastAsia" w:hAnsiTheme="minorEastAsia" w:eastAsiaTheme="minorEastAsia" w:cstheme="minorEastAsia"/>
                <w:i w:val="0"/>
                <w:iCs w:val="0"/>
                <w:color w:val="404040"/>
                <w:sz w:val="20"/>
                <w:szCs w:val="20"/>
                <w:highlight w:val="none"/>
                <w:u w:val="none"/>
              </w:rPr>
            </w:pPr>
            <w:r>
              <w:rPr>
                <w:rFonts w:hint="eastAsia" w:asciiTheme="minorEastAsia" w:hAnsiTheme="minorEastAsia" w:eastAsiaTheme="minorEastAsia" w:cstheme="minorEastAsia"/>
                <w:i w:val="0"/>
                <w:iCs w:val="0"/>
                <w:color w:val="404040"/>
                <w:kern w:val="0"/>
                <w:sz w:val="20"/>
                <w:szCs w:val="20"/>
                <w:highlight w:val="none"/>
                <w:u w:val="none"/>
                <w:lang w:val="en-US" w:eastAsia="zh-CN" w:bidi="ar"/>
              </w:rPr>
              <w:t>首都师范大学附属中学科学城学校</w:t>
            </w:r>
          </w:p>
        </w:tc>
      </w:tr>
    </w:tbl>
    <w:p w14:paraId="55E286F8">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default" w:ascii="仿宋_GB2312" w:hAnsi="仿宋_GB2312" w:eastAsia="仿宋_GB2312" w:cs="仿宋_GB2312"/>
          <w:sz w:val="32"/>
          <w:szCs w:val="22"/>
          <w:highlight w:val="none"/>
          <w:lang w:val="en-US" w:eastAsia="zh-CN"/>
        </w:rPr>
      </w:pPr>
      <w:bookmarkStart w:id="3" w:name="_Toc1318957410"/>
      <w:r>
        <w:rPr>
          <w:rFonts w:hint="default" w:ascii="仿宋_GB2312" w:hAnsi="仿宋_GB2312" w:eastAsia="仿宋_GB2312" w:cs="仿宋_GB2312"/>
          <w:sz w:val="32"/>
          <w:szCs w:val="22"/>
          <w:highlight w:val="none"/>
          <w:lang w:val="en-US" w:eastAsia="zh-CN"/>
        </w:rPr>
        <w:t>2.</w:t>
      </w:r>
      <w:r>
        <w:rPr>
          <w:rFonts w:hint="eastAsia" w:ascii="仿宋_GB2312" w:hAnsi="仿宋_GB2312" w:eastAsia="仿宋_GB2312" w:cs="仿宋_GB2312"/>
          <w:sz w:val="32"/>
          <w:szCs w:val="22"/>
          <w:highlight w:val="none"/>
          <w:lang w:val="en-US" w:eastAsia="zh-CN"/>
        </w:rPr>
        <w:t>部门主要职责</w:t>
      </w:r>
      <w:bookmarkEnd w:id="3"/>
    </w:p>
    <w:p w14:paraId="06084F00">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区教委是负责海淀区教育事业的区政府工作部门，区教委的主要职能如下：</w:t>
      </w:r>
    </w:p>
    <w:p w14:paraId="78516771">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（1）贯彻执行国家和北京市关于教育方面的方针、政策和法律、法规，制定本区教育事业的发展规划和工作计划，并组织实施。</w:t>
      </w:r>
    </w:p>
    <w:p w14:paraId="33D0FB8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统筹、协调和指导本区教育工作，负责本区的基础教育、中等职业教育、特殊教育、成人教育、社区教育和区属高等教育工作；负责推进义务教育均衡发展和促进教育公平；负责建立各级各类教育相关标准体系并组织实施；负责教育系统社会信用体系建设。</w:t>
      </w:r>
    </w:p>
    <w:p w14:paraId="6642D362">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（3）统筹规划、组织、协调本区教育改革工作，协调教育系统内部和外部关系。</w:t>
      </w:r>
    </w:p>
    <w:p w14:paraId="629604C9">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（4）依法筹措教育资金，会同区政府有关部门统筹管理教育基建投资、教育事业经费和教育费附加；组织、指导本系统各核算单位开展会计核算和教育国有资产管理，监督教育经费预算的执行情况。</w:t>
      </w:r>
    </w:p>
    <w:p w14:paraId="466CB4C7">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（5）负责区属教育系统人事工作，统筹、规划、指导教师队伍建设，指导各学校进行内部管理体制改革。</w:t>
      </w:r>
    </w:p>
    <w:p w14:paraId="1D8351AF">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（6）负责区属教育系统的行政管理；负责各学校的教育教学、体育、美育、劳动、校外教育工作。</w:t>
      </w:r>
    </w:p>
    <w:p w14:paraId="0B4A2755">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（7）负责本区中小学教学用书、各类竞赛的审批及备案工作，负责中小学生学籍管理工作。</w:t>
      </w:r>
    </w:p>
    <w:p w14:paraId="418C8FDE">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（8）负责本区义务教育入学工作；制定普通中学、职业高中的招生计划，并组织实施。</w:t>
      </w:r>
    </w:p>
    <w:p w14:paraId="7BCE4F34">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（9）配合上级主管部门做好本区的学历教育及考试工作，负责中考、高考和高中会考的组考工作；规划、指导高中后继续教育工作，负责扫除本区青壮年文盲工作。</w:t>
      </w:r>
    </w:p>
    <w:p w14:paraId="43B7B895">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（10）负责区属教育系统卫生、信访工作。</w:t>
      </w:r>
    </w:p>
    <w:p w14:paraId="74B8B67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（11）负责区属教育系统对外交流工作。</w:t>
      </w:r>
    </w:p>
    <w:p w14:paraId="345B0924">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（12）负责本区教育管理情报、统计资料及信息系统的开发和建设工作。</w:t>
      </w:r>
    </w:p>
    <w:p w14:paraId="2A8A0D6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（13）负责区属教育系统的审计及教育执法工作。</w:t>
      </w:r>
    </w:p>
    <w:p w14:paraId="0A0ED44A">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（14）负责区属教育系统普法宣传和本区推广普通话、语言文字规范化建设工作。</w:t>
      </w:r>
    </w:p>
    <w:p w14:paraId="2E807FD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（15）指导区教育学会、民办教育协会、海淀教育基金会等社团组织。</w:t>
      </w:r>
    </w:p>
    <w:p w14:paraId="0DB5673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（16）负责本区教育督导工作，负责各级各类教育发展状况和质量的监测以及各级各类学校办学状况和教育教学水平的督导评估。</w:t>
      </w:r>
    </w:p>
    <w:p w14:paraId="681D683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（17）承办区委、区政府交办的其他事项。</w:t>
      </w:r>
    </w:p>
    <w:p w14:paraId="7FF4D36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 w:hAnsi="仿宋" w:eastAsia="仿宋_GB2312"/>
          <w:sz w:val="32"/>
          <w:szCs w:val="32"/>
          <w:highlight w:val="none"/>
        </w:rPr>
      </w:pPr>
      <w:bookmarkStart w:id="4" w:name="_Toc1390985536"/>
      <w:r>
        <w:rPr>
          <w:rFonts w:hint="default" w:ascii="仿宋_GB2312" w:hAnsi="仿宋_GB2312" w:eastAsia="仿宋_GB2312" w:cs="仿宋_GB2312"/>
          <w:sz w:val="32"/>
          <w:szCs w:val="32"/>
          <w:highlight w:val="none"/>
          <w:lang w:val="en-US"/>
        </w:rPr>
        <w:t>3</w:t>
      </w:r>
      <w:r>
        <w:rPr>
          <w:rFonts w:hint="eastAsia" w:ascii="仿宋" w:hAnsi="仿宋" w:eastAsia="仿宋_GB2312"/>
          <w:sz w:val="32"/>
          <w:szCs w:val="32"/>
          <w:highlight w:val="none"/>
        </w:rPr>
        <w:t>.本预算年度的主要工作任务</w:t>
      </w:r>
      <w:bookmarkEnd w:id="4"/>
    </w:p>
    <w:p w14:paraId="1EB8297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
        </w:rPr>
        <w:t>4</w:t>
      </w:r>
      <w:r>
        <w:rPr>
          <w:rFonts w:hint="eastAsia" w:ascii="仿宋_GB2312" w:hAnsi="仿宋_GB2312" w:eastAsia="仿宋_GB2312" w:cs="仿宋_GB2312"/>
          <w:sz w:val="32"/>
          <w:szCs w:val="32"/>
          <w:highlight w:val="none"/>
        </w:rPr>
        <w:t>年是</w:t>
      </w:r>
      <w:r>
        <w:rPr>
          <w:rFonts w:hint="eastAsia" w:ascii="仿宋_GB2312" w:hAnsi="仿宋_GB2312" w:eastAsia="仿宋_GB2312" w:cs="仿宋_GB2312"/>
          <w:sz w:val="32"/>
          <w:szCs w:val="32"/>
          <w:highlight w:val="none"/>
          <w:lang w:eastAsia="zh-CN"/>
        </w:rPr>
        <w:t>海淀</w:t>
      </w:r>
      <w:r>
        <w:rPr>
          <w:rFonts w:hint="eastAsia" w:ascii="仿宋_GB2312" w:hAnsi="仿宋_GB2312" w:eastAsia="仿宋_GB2312" w:cs="仿宋_GB2312"/>
          <w:sz w:val="32"/>
          <w:szCs w:val="32"/>
          <w:highlight w:val="none"/>
        </w:rPr>
        <w:t>教育</w:t>
      </w:r>
      <w:r>
        <w:rPr>
          <w:rFonts w:hint="eastAsia" w:ascii="仿宋_GB2312" w:hAnsi="仿宋_GB2312" w:eastAsia="仿宋_GB2312" w:cs="仿宋_GB2312"/>
          <w:sz w:val="32"/>
          <w:szCs w:val="32"/>
          <w:highlight w:val="none"/>
          <w:lang w:eastAsia="zh-CN"/>
        </w:rPr>
        <w:t>“质量提升</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年度主要工作任务为：牢牢</w:t>
      </w:r>
      <w:r>
        <w:rPr>
          <w:rFonts w:hint="eastAsia" w:ascii="仿宋_GB2312" w:hAnsi="仿宋_GB2312" w:eastAsia="仿宋_GB2312" w:cs="仿宋_GB2312"/>
          <w:sz w:val="32"/>
          <w:szCs w:val="32"/>
          <w:highlight w:val="none"/>
        </w:rPr>
        <w:t>把握</w:t>
      </w:r>
      <w:r>
        <w:rPr>
          <w:rFonts w:hint="eastAsia" w:ascii="仿宋_GB2312" w:hAnsi="仿宋_GB2312" w:eastAsia="仿宋_GB2312" w:cs="仿宋_GB2312"/>
          <w:sz w:val="32"/>
          <w:szCs w:val="32"/>
          <w:highlight w:val="none"/>
          <w:lang w:eastAsia="zh-CN"/>
        </w:rPr>
        <w:t>教育的</w:t>
      </w:r>
      <w:r>
        <w:rPr>
          <w:rFonts w:hint="eastAsia" w:ascii="仿宋_GB2312" w:hAnsi="仿宋_GB2312" w:eastAsia="仿宋_GB2312" w:cs="仿宋_GB2312"/>
          <w:sz w:val="32"/>
          <w:szCs w:val="32"/>
          <w:highlight w:val="none"/>
        </w:rPr>
        <w:t>政治属性，把党的领导贯穿办学治校全方位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始终</w:t>
      </w:r>
      <w:r>
        <w:rPr>
          <w:rFonts w:hint="eastAsia" w:ascii="仿宋_GB2312" w:hAnsi="仿宋_GB2312" w:eastAsia="仿宋_GB2312" w:cs="仿宋_GB2312"/>
          <w:sz w:val="32"/>
          <w:szCs w:val="32"/>
          <w:highlight w:val="none"/>
        </w:rPr>
        <w:t>坚守</w:t>
      </w:r>
      <w:r>
        <w:rPr>
          <w:rFonts w:hint="eastAsia" w:ascii="仿宋_GB2312" w:hAnsi="仿宋_GB2312" w:eastAsia="仿宋_GB2312" w:cs="仿宋_GB2312"/>
          <w:sz w:val="32"/>
          <w:szCs w:val="32"/>
          <w:highlight w:val="none"/>
          <w:lang w:eastAsia="zh-CN"/>
        </w:rPr>
        <w:t>教育的</w:t>
      </w:r>
      <w:r>
        <w:rPr>
          <w:rFonts w:hint="eastAsia" w:ascii="仿宋_GB2312" w:hAnsi="仿宋_GB2312" w:eastAsia="仿宋_GB2312" w:cs="仿宋_GB2312"/>
          <w:sz w:val="32"/>
          <w:szCs w:val="32"/>
          <w:highlight w:val="none"/>
        </w:rPr>
        <w:t>人民属性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教育资源</w:t>
      </w:r>
      <w:r>
        <w:rPr>
          <w:rFonts w:hint="eastAsia" w:ascii="仿宋_GB2312" w:hAnsi="仿宋_GB2312" w:eastAsia="仿宋_GB2312" w:cs="仿宋_GB2312"/>
          <w:sz w:val="32"/>
          <w:szCs w:val="32"/>
          <w:highlight w:val="none"/>
          <w:lang w:eastAsia="zh-CN"/>
        </w:rPr>
        <w:t>总</w:t>
      </w:r>
      <w:r>
        <w:rPr>
          <w:rFonts w:hint="eastAsia" w:ascii="仿宋_GB2312" w:hAnsi="仿宋_GB2312" w:eastAsia="仿宋_GB2312" w:cs="仿宋_GB2312"/>
          <w:sz w:val="32"/>
          <w:szCs w:val="32"/>
          <w:highlight w:val="none"/>
        </w:rPr>
        <w:t>量和</w:t>
      </w:r>
      <w:r>
        <w:rPr>
          <w:rFonts w:hint="eastAsia" w:ascii="仿宋_GB2312" w:hAnsi="仿宋_GB2312" w:eastAsia="仿宋_GB2312" w:cs="仿宋_GB2312"/>
          <w:sz w:val="32"/>
          <w:szCs w:val="32"/>
          <w:highlight w:val="none"/>
          <w:lang w:eastAsia="zh-CN"/>
        </w:rPr>
        <w:t>质量</w:t>
      </w:r>
      <w:r>
        <w:rPr>
          <w:rFonts w:hint="eastAsia" w:ascii="仿宋_GB2312" w:hAnsi="仿宋_GB2312" w:eastAsia="仿宋_GB2312" w:cs="仿宋_GB2312"/>
          <w:sz w:val="32"/>
          <w:szCs w:val="32"/>
          <w:highlight w:val="none"/>
        </w:rPr>
        <w:t>达到新高度</w:t>
      </w:r>
      <w:r>
        <w:rPr>
          <w:rFonts w:hint="eastAsia" w:ascii="仿宋_GB2312" w:hAnsi="仿宋_GB2312" w:eastAsia="仿宋_GB2312" w:cs="仿宋_GB2312"/>
          <w:sz w:val="32"/>
          <w:szCs w:val="32"/>
          <w:highlight w:val="none"/>
          <w:lang w:eastAsia="zh-CN"/>
        </w:rPr>
        <w:t>；深入研究教育的</w:t>
      </w:r>
      <w:r>
        <w:rPr>
          <w:rFonts w:hint="eastAsia" w:ascii="仿宋_GB2312" w:hAnsi="仿宋_GB2312" w:eastAsia="仿宋_GB2312" w:cs="仿宋_GB2312"/>
          <w:sz w:val="32"/>
          <w:szCs w:val="32"/>
          <w:highlight w:val="none"/>
        </w:rPr>
        <w:t>战略属性</w:t>
      </w:r>
      <w:r>
        <w:rPr>
          <w:rFonts w:hint="eastAsia" w:ascii="仿宋_GB2312" w:hAnsi="仿宋_GB2312" w:eastAsia="仿宋_GB2312" w:cs="仿宋_GB2312"/>
          <w:sz w:val="32"/>
          <w:szCs w:val="32"/>
          <w:highlight w:val="none"/>
          <w:lang w:eastAsia="zh-CN"/>
        </w:rPr>
        <w:t>，在教育综合改革中优化拔尖创新人才培养；</w:t>
      </w:r>
      <w:r>
        <w:rPr>
          <w:rFonts w:hint="eastAsia" w:ascii="仿宋_GB2312" w:hAnsi="仿宋_GB2312" w:eastAsia="仿宋_GB2312" w:cs="仿宋_GB2312"/>
          <w:sz w:val="32"/>
          <w:szCs w:val="32"/>
          <w:highlight w:val="none"/>
        </w:rPr>
        <w:t>切实巩固“双减”成果，不断提升育人质量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以教育家精神铸魂强师，建设素质精良的干部教师队伍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加强标准化建设，区域教育治理更加规范有序</w:t>
      </w:r>
      <w:r>
        <w:rPr>
          <w:rFonts w:hint="eastAsia" w:ascii="仿宋_GB2312" w:hAnsi="仿宋_GB2312" w:eastAsia="仿宋_GB2312" w:cs="仿宋_GB2312"/>
          <w:sz w:val="32"/>
          <w:szCs w:val="32"/>
          <w:highlight w:val="none"/>
          <w:lang w:eastAsia="zh-CN"/>
        </w:rPr>
        <w:t>。</w:t>
      </w:r>
    </w:p>
    <w:p w14:paraId="5964271A">
      <w:pPr>
        <w:keepNext w:val="0"/>
        <w:keepLines w:val="0"/>
        <w:pageBreakBefore w:val="0"/>
        <w:widowControl w:val="0"/>
        <w:numPr>
          <w:ilvl w:val="0"/>
          <w:numId w:val="1"/>
        </w:numPr>
        <w:shd w:val="clear"/>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highlight w:val="none"/>
        </w:rPr>
      </w:pPr>
      <w:bookmarkStart w:id="5" w:name="_Toc786922310"/>
      <w:r>
        <w:rPr>
          <w:rFonts w:hint="eastAsia" w:ascii="楷体_GB2312" w:eastAsia="楷体_GB2312"/>
          <w:sz w:val="32"/>
          <w:szCs w:val="32"/>
          <w:highlight w:val="none"/>
        </w:rPr>
        <w:t>部门整体绩效目标设立情况</w:t>
      </w:r>
      <w:bookmarkEnd w:id="5"/>
    </w:p>
    <w:p w14:paraId="0219E2A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年，区教委</w:t>
      </w:r>
      <w:r>
        <w:rPr>
          <w:rFonts w:hint="eastAsia" w:ascii="仿宋_GB2312" w:hAnsi="仿宋_GB2312" w:eastAsia="仿宋_GB2312" w:cs="仿宋_GB2312"/>
          <w:sz w:val="32"/>
          <w:szCs w:val="32"/>
          <w:highlight w:val="none"/>
          <w:lang w:val="en-US" w:eastAsia="zh-CN"/>
        </w:rPr>
        <w:t>以质量提升为目标，围绕</w:t>
      </w:r>
      <w:r>
        <w:rPr>
          <w:rFonts w:hint="eastAsia" w:ascii="仿宋_GB2312" w:hAnsi="仿宋_GB2312" w:eastAsia="仿宋_GB2312" w:cs="仿宋_GB2312"/>
          <w:sz w:val="32"/>
          <w:szCs w:val="32"/>
          <w:highlight w:val="none"/>
          <w:lang w:eastAsia="zh-CN"/>
        </w:rPr>
        <w:t>全区</w:t>
      </w:r>
      <w:r>
        <w:rPr>
          <w:rFonts w:hint="eastAsia" w:ascii="仿宋_GB2312" w:hAnsi="仿宋_GB2312" w:eastAsia="仿宋_GB2312" w:cs="仿宋_GB2312"/>
          <w:sz w:val="32"/>
          <w:szCs w:val="32"/>
          <w:highlight w:val="none"/>
        </w:rPr>
        <w:t>教育系统</w:t>
      </w:r>
      <w:r>
        <w:rPr>
          <w:rFonts w:hint="eastAsia" w:ascii="仿宋_GB2312" w:hAnsi="仿宋_GB2312" w:eastAsia="仿宋_GB2312" w:cs="仿宋_GB2312"/>
          <w:sz w:val="32"/>
          <w:szCs w:val="32"/>
          <w:highlight w:val="none"/>
          <w:lang w:eastAsia="zh-CN"/>
        </w:rPr>
        <w:t>加强党的领导，强化民生保障，坚持改革创新，提升育人质量，建强干部教师队伍，完善治理体系</w:t>
      </w:r>
      <w:r>
        <w:rPr>
          <w:rFonts w:hint="eastAsia" w:ascii="仿宋_GB2312" w:hAnsi="仿宋_GB2312" w:eastAsia="仿宋_GB2312" w:cs="仿宋_GB2312"/>
          <w:sz w:val="32"/>
          <w:szCs w:val="32"/>
          <w:highlight w:val="none"/>
          <w:lang w:val="en-US" w:eastAsia="zh-CN"/>
        </w:rPr>
        <w:t>等工作任务，</w:t>
      </w:r>
      <w:r>
        <w:rPr>
          <w:rFonts w:hint="eastAsia" w:ascii="仿宋_GB2312" w:hAnsi="仿宋_GB2312" w:eastAsia="仿宋_GB2312" w:cs="仿宋_GB2312"/>
          <w:sz w:val="32"/>
          <w:szCs w:val="32"/>
          <w:highlight w:val="none"/>
        </w:rPr>
        <w:t>设置年度部门整体绩效目标，具体绩效指标设置情况如下表：</w:t>
      </w:r>
    </w:p>
    <w:p w14:paraId="5543F598">
      <w:pPr>
        <w:keepNext w:val="0"/>
        <w:keepLines w:val="0"/>
        <w:pageBreakBefore w:val="0"/>
        <w:widowControl w:val="0"/>
        <w:shd w:val="clear"/>
        <w:kinsoku/>
        <w:wordWrap/>
        <w:overflowPunct/>
        <w:topLinePunct w:val="0"/>
        <w:autoSpaceDE/>
        <w:autoSpaceDN/>
        <w:bidi w:val="0"/>
        <w:spacing w:line="560" w:lineRule="exact"/>
        <w:jc w:val="center"/>
        <w:textAlignment w:val="auto"/>
        <w:rPr>
          <w:rFonts w:hint="default" w:ascii="黑体" w:hAnsi="黑体" w:eastAsia="黑体" w:cs="Times New Roman"/>
          <w:sz w:val="28"/>
          <w:szCs w:val="28"/>
          <w:highlight w:val="none"/>
          <w:lang w:val="en-US" w:eastAsia="zh-CN"/>
        </w:rPr>
      </w:pPr>
      <w:r>
        <w:rPr>
          <w:rFonts w:hint="eastAsia" w:ascii="黑体" w:hAnsi="黑体" w:eastAsia="黑体" w:cs="Times New Roman"/>
          <w:sz w:val="28"/>
          <w:szCs w:val="28"/>
          <w:highlight w:val="none"/>
        </w:rPr>
        <w:t>表2：区教委202</w:t>
      </w:r>
      <w:r>
        <w:rPr>
          <w:rFonts w:hint="eastAsia" w:ascii="黑体" w:hAnsi="黑体" w:eastAsia="黑体" w:cs="Times New Roman"/>
          <w:sz w:val="28"/>
          <w:szCs w:val="28"/>
          <w:highlight w:val="none"/>
          <w:lang w:val="en-US" w:eastAsia="zh-CN"/>
        </w:rPr>
        <w:t>4</w:t>
      </w:r>
      <w:r>
        <w:rPr>
          <w:rFonts w:hint="eastAsia" w:ascii="黑体" w:hAnsi="黑体" w:eastAsia="黑体" w:cs="Times New Roman"/>
          <w:sz w:val="28"/>
          <w:szCs w:val="28"/>
          <w:highlight w:val="none"/>
        </w:rPr>
        <w:t>年度部门整体绩效</w:t>
      </w:r>
      <w:r>
        <w:rPr>
          <w:rFonts w:hint="eastAsia" w:ascii="黑体" w:hAnsi="黑体" w:eastAsia="黑体" w:cs="Times New Roman"/>
          <w:sz w:val="28"/>
          <w:szCs w:val="28"/>
          <w:highlight w:val="none"/>
          <w:lang w:val="en-US" w:eastAsia="zh-CN"/>
        </w:rPr>
        <w:t>指标</w:t>
      </w:r>
    </w:p>
    <w:tbl>
      <w:tblPr>
        <w:tblStyle w:val="7"/>
        <w:tblW w:w="868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3"/>
        <w:gridCol w:w="2016"/>
        <w:gridCol w:w="3072"/>
        <w:gridCol w:w="2217"/>
      </w:tblGrid>
      <w:tr w14:paraId="71D5F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blHeader/>
        </w:trPr>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02B6">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172B">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二级指标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9F10B">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三级指标</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7B87">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000000"/>
                <w:sz w:val="20"/>
                <w:szCs w:val="20"/>
                <w:highlight w:val="none"/>
                <w:u w:val="none"/>
              </w:rPr>
            </w:pPr>
            <w:r>
              <w:rPr>
                <w:rFonts w:hint="eastAsia" w:asciiTheme="minorEastAsia" w:hAnsiTheme="minorEastAsia" w:eastAsiaTheme="minorEastAsia" w:cstheme="minorEastAsia"/>
                <w:b/>
                <w:bCs/>
                <w:i w:val="0"/>
                <w:iCs w:val="0"/>
                <w:color w:val="000000"/>
                <w:kern w:val="0"/>
                <w:sz w:val="20"/>
                <w:szCs w:val="20"/>
                <w:highlight w:val="none"/>
                <w:u w:val="none"/>
                <w:lang w:val="en-US" w:eastAsia="zh-CN" w:bidi="ar"/>
              </w:rPr>
              <w:t>指标值</w:t>
            </w:r>
          </w:p>
        </w:tc>
      </w:tr>
      <w:tr w14:paraId="595AE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7CF85">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产出指标</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A40A">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数量指标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C2BD2">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新发展党员人数</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5171">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≥180名</w:t>
            </w:r>
          </w:p>
        </w:tc>
      </w:tr>
      <w:tr w14:paraId="3050B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B717">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FFB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2A39">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新增中小学学位数</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125D">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≥8000个</w:t>
            </w:r>
          </w:p>
        </w:tc>
      </w:tr>
      <w:tr w14:paraId="4D48B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C48AA">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0999E">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6CC0">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国家级改革项目</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F9314">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≥10项</w:t>
            </w:r>
          </w:p>
        </w:tc>
      </w:tr>
      <w:tr w14:paraId="3D5D1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C977">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091C">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3935">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“双减”重点关注点位数</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61A8">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≥6600址</w:t>
            </w:r>
          </w:p>
        </w:tc>
      </w:tr>
      <w:tr w14:paraId="71ADE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585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A6FF">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9F9BA">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校园食堂升级改造</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0EDD">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≥30所</w:t>
            </w:r>
          </w:p>
        </w:tc>
      </w:tr>
      <w:tr w14:paraId="56F7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AC4D">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6CB8">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85AAB">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上放学高峰期巡查学校</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AD780">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≥400所次</w:t>
            </w:r>
          </w:p>
        </w:tc>
      </w:tr>
      <w:tr w14:paraId="1812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0943C">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3F80A">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A4ED">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寄宿部安全检查学校</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B1B24">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≥100所次</w:t>
            </w:r>
          </w:p>
        </w:tc>
      </w:tr>
      <w:tr w14:paraId="0ED2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4146">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635B">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81CA">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建筑物和消防安全检查学校</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C693C">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≥90所次</w:t>
            </w:r>
          </w:p>
        </w:tc>
      </w:tr>
      <w:tr w14:paraId="636F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AA9E">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5783">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2CB3">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开通通学车学校</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AEA3">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≥20所</w:t>
            </w:r>
          </w:p>
        </w:tc>
      </w:tr>
      <w:tr w14:paraId="07EAF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DF55">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460A">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质量指标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EA90">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项目验收合格率</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2705">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w:t>
            </w:r>
          </w:p>
        </w:tc>
      </w:tr>
      <w:tr w14:paraId="449C9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FCF2">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72ED">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进度指标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7ABC8">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年度工作任务完成时间</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97A3">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12月底</w:t>
            </w:r>
          </w:p>
        </w:tc>
      </w:tr>
      <w:tr w14:paraId="53EF7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82B4">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效益指标</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856BF">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社会效益指标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3447">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加强区教育系统党的领导</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F5D75">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21EFA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2DDC0">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B646">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1F641">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幼儿园公办率</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BD7C">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≥80%</w:t>
            </w:r>
          </w:p>
        </w:tc>
      </w:tr>
      <w:tr w14:paraId="1799E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0BAB4">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D293">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AC44C">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教育改革创新</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64989">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2A5A6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6C3C">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0E2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CF7B1">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不断提升育人质量</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AA37">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7F4AC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16909">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CFFBB">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049C">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建强干部教师队伍</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93D7">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125ED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DAFE">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71728">
            <w:pPr>
              <w:shd w:val="clear"/>
              <w:jc w:val="center"/>
              <w:rPr>
                <w:rFonts w:hint="eastAsia" w:asciiTheme="minorEastAsia" w:hAnsiTheme="minorEastAsia" w:eastAsiaTheme="minorEastAsia" w:cstheme="minorEastAsia"/>
                <w:i w:val="0"/>
                <w:iCs w:val="0"/>
                <w:color w:val="000000"/>
                <w:sz w:val="20"/>
                <w:szCs w:val="20"/>
                <w:highlight w:val="none"/>
                <w:u w:val="none"/>
              </w:rPr>
            </w:pP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F24A">
            <w:pPr>
              <w:keepNext w:val="0"/>
              <w:keepLines w:val="0"/>
              <w:widowControl/>
              <w:suppressLineNumbers w:val="0"/>
              <w:shd w:val="clear"/>
              <w:jc w:val="both"/>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完善治理体系</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6970">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r>
      <w:tr w14:paraId="2AE42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EA953">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满意度指标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B9E2">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服务对象满意度指标</w:t>
            </w:r>
          </w:p>
        </w:tc>
        <w:tc>
          <w:tcPr>
            <w:tcW w:w="3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A5B5">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来访来件办结率</w:t>
            </w:r>
          </w:p>
        </w:tc>
        <w:tc>
          <w:tcPr>
            <w:tcW w:w="2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6DE5">
            <w:pPr>
              <w:keepNext w:val="0"/>
              <w:keepLines w:val="0"/>
              <w:widowControl/>
              <w:suppressLineNumbers w:val="0"/>
              <w:shd w:val="clear"/>
              <w:jc w:val="center"/>
              <w:textAlignment w:val="center"/>
              <w:rPr>
                <w:rFonts w:hint="eastAsia" w:asciiTheme="minorEastAsia" w:hAnsiTheme="minorEastAsia" w:eastAsiaTheme="minorEastAsia" w:cstheme="minorEastAsia"/>
                <w:i w:val="0"/>
                <w:iCs w:val="0"/>
                <w:color w:val="000000"/>
                <w:sz w:val="20"/>
                <w:szCs w:val="20"/>
                <w:highlight w:val="none"/>
                <w:u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≥95%</w:t>
            </w:r>
          </w:p>
        </w:tc>
      </w:tr>
    </w:tbl>
    <w:p w14:paraId="66CDBE4D">
      <w:pPr>
        <w:shd w:val="clear"/>
        <w:rPr>
          <w:rFonts w:hint="eastAsia" w:ascii="黑体" w:hAnsi="黑体" w:eastAsia="黑体" w:cs="Times New Roman"/>
          <w:sz w:val="28"/>
          <w:szCs w:val="28"/>
          <w:highlight w:val="none"/>
        </w:rPr>
      </w:pPr>
    </w:p>
    <w:p w14:paraId="1FDE0F58">
      <w:pPr>
        <w:keepNext w:val="0"/>
        <w:keepLines w:val="0"/>
        <w:pageBreakBefore w:val="0"/>
        <w:widowControl w:val="0"/>
        <w:numPr>
          <w:ilvl w:val="0"/>
          <w:numId w:val="2"/>
        </w:numPr>
        <w:shd w:val="clear"/>
        <w:kinsoku/>
        <w:wordWrap/>
        <w:overflowPunct/>
        <w:topLinePunct w:val="0"/>
        <w:autoSpaceDE/>
        <w:autoSpaceDN/>
        <w:bidi w:val="0"/>
        <w:adjustRightInd/>
        <w:snapToGrid/>
        <w:spacing w:line="560" w:lineRule="exact"/>
        <w:ind w:firstLine="640" w:firstLineChars="200"/>
        <w:textAlignment w:val="auto"/>
        <w:outlineLvl w:val="0"/>
        <w:rPr>
          <w:rFonts w:ascii="黑体" w:hAnsi="黑体" w:eastAsia="黑体" w:cs="宋体"/>
          <w:color w:val="000000"/>
          <w:kern w:val="0"/>
          <w:sz w:val="32"/>
          <w:szCs w:val="32"/>
          <w:highlight w:val="none"/>
        </w:rPr>
      </w:pPr>
      <w:bookmarkStart w:id="6" w:name="_Toc1598965944"/>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6"/>
    </w:p>
    <w:p w14:paraId="7F7A55D9">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年全年预算数18</w:t>
      </w:r>
      <w:r>
        <w:rPr>
          <w:rFonts w:hint="default" w:ascii="仿宋_GB2312" w:hAnsi="仿宋_GB2312" w:eastAsia="仿宋_GB2312" w:cs="仿宋_GB2312"/>
          <w:sz w:val="32"/>
          <w:szCs w:val="32"/>
          <w:highlight w:val="none"/>
          <w:lang w:val="en-US"/>
        </w:rPr>
        <w:t>11270.60</w:t>
      </w:r>
      <w:r>
        <w:rPr>
          <w:rFonts w:hint="eastAsia" w:ascii="仿宋_GB2312" w:hAnsi="仿宋_GB2312" w:eastAsia="仿宋_GB2312" w:cs="仿宋_GB2312"/>
          <w:sz w:val="32"/>
          <w:szCs w:val="32"/>
          <w:highlight w:val="none"/>
        </w:rPr>
        <w:t>万元，其中，基本支出预算数1324981</w:t>
      </w:r>
      <w:r>
        <w:rPr>
          <w:rFonts w:hint="default"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rPr>
        <w:t>30万元，项目支出预算数486289</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全年</w:t>
      </w:r>
      <w:r>
        <w:rPr>
          <w:rFonts w:hint="eastAsia" w:ascii="仿宋_GB2312" w:hAnsi="仿宋_GB2312" w:eastAsia="仿宋_GB2312" w:cs="仿宋_GB2312"/>
          <w:sz w:val="32"/>
          <w:szCs w:val="32"/>
          <w:highlight w:val="none"/>
        </w:rPr>
        <w:t>支出18</w:t>
      </w:r>
      <w:r>
        <w:rPr>
          <w:rFonts w:hint="default" w:ascii="仿宋_GB2312" w:hAnsi="仿宋_GB2312" w:eastAsia="仿宋_GB2312" w:cs="仿宋_GB2312"/>
          <w:sz w:val="32"/>
          <w:szCs w:val="32"/>
          <w:highlight w:val="none"/>
          <w:lang w:val="en-US"/>
        </w:rPr>
        <w:t>11270.60</w:t>
      </w:r>
      <w:r>
        <w:rPr>
          <w:rFonts w:hint="eastAsia" w:ascii="仿宋_GB2312" w:hAnsi="仿宋_GB2312" w:eastAsia="仿宋_GB2312" w:cs="仿宋_GB2312"/>
          <w:sz w:val="32"/>
          <w:szCs w:val="32"/>
          <w:highlight w:val="none"/>
        </w:rPr>
        <w:t>万元，其中，基本支出1324981</w:t>
      </w:r>
      <w:r>
        <w:rPr>
          <w:rFonts w:hint="default"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rPr>
        <w:t>30万元，项目支出486289</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15A8C4CA">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ascii="黑体" w:hAnsi="黑体" w:eastAsia="黑体" w:cs="宋体"/>
          <w:color w:val="000000"/>
          <w:kern w:val="0"/>
          <w:sz w:val="32"/>
          <w:szCs w:val="32"/>
          <w:highlight w:val="none"/>
        </w:rPr>
      </w:pPr>
      <w:bookmarkStart w:id="7" w:name="_Toc210262250"/>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7"/>
    </w:p>
    <w:p w14:paraId="0E2E0954">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sz w:val="32"/>
          <w:szCs w:val="32"/>
          <w:highlight w:val="none"/>
        </w:rPr>
      </w:pPr>
      <w:bookmarkStart w:id="8" w:name="_Toc1267036435"/>
      <w:r>
        <w:rPr>
          <w:rFonts w:hint="eastAsia" w:ascii="楷体_GB2312" w:eastAsia="楷体_GB2312"/>
          <w:sz w:val="32"/>
          <w:szCs w:val="32"/>
          <w:highlight w:val="none"/>
        </w:rPr>
        <w:t>（一）产出完成情况分析</w:t>
      </w:r>
      <w:bookmarkEnd w:id="8"/>
    </w:p>
    <w:p w14:paraId="743DDEF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年，区教委</w:t>
      </w:r>
      <w:r>
        <w:rPr>
          <w:rFonts w:hint="eastAsia" w:ascii="仿宋_GB2312" w:hAnsi="仿宋_GB2312" w:eastAsia="仿宋_GB2312" w:cs="仿宋_GB2312"/>
          <w:sz w:val="32"/>
          <w:szCs w:val="32"/>
          <w:highlight w:val="none"/>
          <w:lang w:val="en-US" w:eastAsia="zh-CN"/>
        </w:rPr>
        <w:t>严格</w:t>
      </w:r>
      <w:r>
        <w:rPr>
          <w:rFonts w:hint="eastAsia" w:ascii="仿宋_GB2312" w:hAnsi="仿宋_GB2312" w:eastAsia="仿宋_GB2312" w:cs="仿宋_GB2312"/>
          <w:sz w:val="32"/>
          <w:szCs w:val="32"/>
          <w:highlight w:val="none"/>
        </w:rPr>
        <w:t>落实年度重点工作</w:t>
      </w:r>
      <w:r>
        <w:rPr>
          <w:rFonts w:hint="eastAsia" w:ascii="仿宋_GB2312" w:hAnsi="仿宋_GB2312" w:eastAsia="仿宋_GB2312" w:cs="仿宋_GB2312"/>
          <w:sz w:val="32"/>
          <w:szCs w:val="32"/>
          <w:highlight w:val="none"/>
          <w:lang w:val="en-US" w:eastAsia="zh-CN"/>
        </w:rPr>
        <w:t>任务</w:t>
      </w:r>
      <w:r>
        <w:rPr>
          <w:rFonts w:hint="eastAsia" w:ascii="仿宋_GB2312" w:hAnsi="仿宋_GB2312" w:eastAsia="仿宋_GB2312" w:cs="仿宋_GB2312"/>
          <w:sz w:val="32"/>
          <w:szCs w:val="32"/>
          <w:highlight w:val="none"/>
        </w:rPr>
        <w:t>，各项产出已按照计划完成，具体完成情况如下表：</w:t>
      </w:r>
    </w:p>
    <w:p w14:paraId="2FA3BEF3">
      <w:pPr>
        <w:keepNext w:val="0"/>
        <w:keepLines w:val="0"/>
        <w:pageBreakBefore w:val="0"/>
        <w:widowControl w:val="0"/>
        <w:shd w:val="clear"/>
        <w:kinsoku/>
        <w:wordWrap/>
        <w:overflowPunct/>
        <w:topLinePunct w:val="0"/>
        <w:autoSpaceDE/>
        <w:autoSpaceDN/>
        <w:bidi w:val="0"/>
        <w:spacing w:line="560" w:lineRule="exact"/>
        <w:jc w:val="center"/>
        <w:textAlignment w:val="auto"/>
        <w:rPr>
          <w:rFonts w:hint="eastAsia" w:ascii="黑体" w:hAnsi="黑体" w:eastAsia="黑体" w:cs="Times New Roman"/>
          <w:sz w:val="28"/>
          <w:szCs w:val="28"/>
          <w:highlight w:val="none"/>
        </w:rPr>
      </w:pPr>
      <w:r>
        <w:rPr>
          <w:rFonts w:hint="eastAsia" w:ascii="黑体" w:hAnsi="黑体" w:eastAsia="黑体" w:cs="Times New Roman"/>
          <w:sz w:val="28"/>
          <w:szCs w:val="28"/>
          <w:highlight w:val="none"/>
        </w:rPr>
        <w:t>表3：202</w:t>
      </w:r>
      <w:r>
        <w:rPr>
          <w:rFonts w:hint="eastAsia" w:ascii="黑体" w:hAnsi="黑体" w:eastAsia="黑体" w:cs="Times New Roman"/>
          <w:sz w:val="28"/>
          <w:szCs w:val="28"/>
          <w:highlight w:val="none"/>
          <w:lang w:val="en-US" w:eastAsia="zh-CN"/>
        </w:rPr>
        <w:t>4</w:t>
      </w:r>
      <w:r>
        <w:rPr>
          <w:rFonts w:hint="eastAsia" w:ascii="黑体" w:hAnsi="黑体" w:eastAsia="黑体" w:cs="Times New Roman"/>
          <w:sz w:val="28"/>
          <w:szCs w:val="28"/>
          <w:highlight w:val="none"/>
        </w:rPr>
        <w:t>年区教委年度重点工作产出完成情况</w:t>
      </w:r>
    </w:p>
    <w:tbl>
      <w:tblPr>
        <w:tblStyle w:val="7"/>
        <w:tblW w:w="8973"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1"/>
        <w:gridCol w:w="3138"/>
        <w:gridCol w:w="2607"/>
        <w:gridCol w:w="2187"/>
      </w:tblGrid>
      <w:tr w14:paraId="5E942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0C8B">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8B08">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绩效指标</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FF1C">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计划值</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1D9D">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完成值</w:t>
            </w:r>
          </w:p>
        </w:tc>
      </w:tr>
      <w:tr w14:paraId="6248B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76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D5A6">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新发展党员人数</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FB7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≥180名</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8A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189名</w:t>
            </w:r>
          </w:p>
        </w:tc>
      </w:tr>
      <w:tr w14:paraId="76831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0E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7C28">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新增中小学学位数</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5E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≥8000个</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D0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8054个</w:t>
            </w:r>
          </w:p>
        </w:tc>
      </w:tr>
      <w:tr w14:paraId="4AC89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A0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C70B">
            <w:pPr>
              <w:keepNext w:val="0"/>
              <w:keepLines w:val="0"/>
              <w:widowControl/>
              <w:suppressLineNumbers w:val="0"/>
              <w:shd w:val="clear"/>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国家级改革项目</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420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≥10项</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0DEE1">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13项</w:t>
            </w:r>
          </w:p>
        </w:tc>
      </w:tr>
      <w:tr w14:paraId="49099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38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A454">
            <w:pPr>
              <w:keepNext w:val="0"/>
              <w:keepLines w:val="0"/>
              <w:widowControl/>
              <w:suppressLineNumbers w:val="0"/>
              <w:shd w:val="clear"/>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“双减”重点关注点位数</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7BE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≥6600址</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B7314">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6660余址</w:t>
            </w:r>
          </w:p>
        </w:tc>
      </w:tr>
      <w:tr w14:paraId="50B7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6502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E607">
            <w:pPr>
              <w:keepNext w:val="0"/>
              <w:keepLines w:val="0"/>
              <w:widowControl/>
              <w:suppressLineNumbers w:val="0"/>
              <w:shd w:val="clear"/>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校园食堂升级改造</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B3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≥30所</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A7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36所</w:t>
            </w:r>
          </w:p>
        </w:tc>
      </w:tr>
      <w:tr w14:paraId="60EB9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E9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C8EC">
            <w:pPr>
              <w:keepNext w:val="0"/>
              <w:keepLines w:val="0"/>
              <w:widowControl/>
              <w:suppressLineNumbers w:val="0"/>
              <w:shd w:val="clear"/>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上放学高峰期巡查学校</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0D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≥400所次</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8CD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431所次</w:t>
            </w:r>
          </w:p>
        </w:tc>
      </w:tr>
      <w:tr w14:paraId="7F799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93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6E81">
            <w:pPr>
              <w:keepNext w:val="0"/>
              <w:keepLines w:val="0"/>
              <w:widowControl/>
              <w:suppressLineNumbers w:val="0"/>
              <w:shd w:val="clear"/>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寄宿部安全检查学校</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E09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≥100所次</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4A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112所次</w:t>
            </w:r>
          </w:p>
        </w:tc>
      </w:tr>
      <w:tr w14:paraId="748D5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FD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5188">
            <w:pPr>
              <w:keepNext w:val="0"/>
              <w:keepLines w:val="0"/>
              <w:widowControl/>
              <w:suppressLineNumbers w:val="0"/>
              <w:shd w:val="clear"/>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建筑物和消防安全检查学校</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D9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≥90所次</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3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98所次</w:t>
            </w:r>
          </w:p>
        </w:tc>
      </w:tr>
      <w:tr w14:paraId="16660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E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0169">
            <w:pPr>
              <w:keepNext w:val="0"/>
              <w:keepLines w:val="0"/>
              <w:widowControl/>
              <w:suppressLineNumbers w:val="0"/>
              <w:shd w:val="clear"/>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开通通学车学校</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2C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≥20所</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68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24所</w:t>
            </w:r>
          </w:p>
        </w:tc>
      </w:tr>
      <w:tr w14:paraId="535FC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C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346A">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项目验收合格率</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C786">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AA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r>
      <w:tr w14:paraId="7D1FF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ED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3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FD28">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年度工作任务完成时间</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35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12月底</w:t>
            </w:r>
          </w:p>
        </w:tc>
        <w:tc>
          <w:tcPr>
            <w:tcW w:w="2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ED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12月底</w:t>
            </w:r>
          </w:p>
        </w:tc>
      </w:tr>
    </w:tbl>
    <w:p w14:paraId="3FD8D566">
      <w:pPr>
        <w:pStyle w:val="4"/>
        <w:shd w:val="clear"/>
        <w:ind w:left="0" w:leftChars="0" w:firstLine="0" w:firstLineChars="0"/>
        <w:rPr>
          <w:rFonts w:eastAsia="黑体"/>
          <w:bCs/>
          <w:sz w:val="28"/>
          <w:szCs w:val="28"/>
          <w:highlight w:val="none"/>
        </w:rPr>
      </w:pPr>
    </w:p>
    <w:p w14:paraId="37907FA7">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加强党的领导</w:t>
      </w:r>
      <w:r>
        <w:rPr>
          <w:rFonts w:hint="eastAsia" w:ascii="仿宋_GB2312" w:hAnsi="仿宋_GB2312" w:eastAsia="仿宋_GB2312" w:cs="仿宋_GB2312"/>
          <w:b/>
          <w:bCs/>
          <w:sz w:val="32"/>
          <w:szCs w:val="32"/>
          <w:highlight w:val="none"/>
          <w:lang w:val="en-US" w:eastAsia="zh-CN"/>
        </w:rPr>
        <w:t>方面</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val="0"/>
          <w:bCs w:val="0"/>
          <w:sz w:val="32"/>
          <w:szCs w:val="32"/>
          <w:highlight w:val="none"/>
        </w:rPr>
        <w:t>完</w:t>
      </w:r>
      <w:r>
        <w:rPr>
          <w:rFonts w:hint="eastAsia" w:ascii="仿宋_GB2312" w:hAnsi="仿宋_GB2312" w:eastAsia="仿宋_GB2312" w:cs="仿宋_GB2312"/>
          <w:sz w:val="32"/>
          <w:szCs w:val="32"/>
          <w:highlight w:val="none"/>
        </w:rPr>
        <w:t>善“双培养”机制，加大在高层次人才和思政课教师中发展党员的力度，新发展党员189名。</w:t>
      </w:r>
    </w:p>
    <w:p w14:paraId="693D6952">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eastAsia="zh-CN"/>
        </w:rPr>
        <w:t>强化民生保障</w:t>
      </w:r>
      <w:r>
        <w:rPr>
          <w:rFonts w:hint="eastAsia" w:ascii="仿宋_GB2312" w:hAnsi="仿宋_GB2312" w:eastAsia="仿宋_GB2312" w:cs="仿宋_GB2312"/>
          <w:b/>
          <w:bCs/>
          <w:sz w:val="32"/>
          <w:szCs w:val="32"/>
          <w:highlight w:val="none"/>
          <w:lang w:val="en-US" w:eastAsia="zh-CN"/>
        </w:rPr>
        <w:t>方面，</w:t>
      </w: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lang w:eastAsia="zh-CN"/>
        </w:rPr>
        <w:t>幼儿园</w:t>
      </w:r>
      <w:r>
        <w:rPr>
          <w:rFonts w:hint="eastAsia" w:ascii="仿宋_GB2312" w:hAnsi="仿宋_GB2312" w:eastAsia="仿宋_GB2312" w:cs="仿宋_GB2312"/>
          <w:sz w:val="32"/>
          <w:szCs w:val="32"/>
          <w:highlight w:val="none"/>
        </w:rPr>
        <w:t>公办率达到80%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实现</w:t>
      </w:r>
      <w:r>
        <w:rPr>
          <w:rFonts w:hint="eastAsia" w:ascii="仿宋_GB2312" w:hAnsi="仿宋_GB2312" w:eastAsia="仿宋_GB2312" w:cs="仿宋_GB2312"/>
          <w:sz w:val="32"/>
          <w:szCs w:val="32"/>
          <w:highlight w:val="none"/>
        </w:rPr>
        <w:t>9个</w:t>
      </w:r>
      <w:r>
        <w:rPr>
          <w:rFonts w:hint="eastAsia" w:ascii="仿宋_GB2312" w:hAnsi="仿宋_GB2312" w:eastAsia="仿宋_GB2312" w:cs="仿宋_GB2312"/>
          <w:sz w:val="32"/>
          <w:szCs w:val="32"/>
          <w:highlight w:val="none"/>
          <w:lang w:eastAsia="zh-CN"/>
        </w:rPr>
        <w:t>新建改扩建</w:t>
      </w:r>
      <w:r>
        <w:rPr>
          <w:rFonts w:hint="eastAsia" w:ascii="仿宋_GB2312" w:hAnsi="仿宋_GB2312" w:eastAsia="仿宋_GB2312" w:cs="仿宋_GB2312"/>
          <w:sz w:val="32"/>
          <w:szCs w:val="32"/>
          <w:highlight w:val="none"/>
        </w:rPr>
        <w:t>项目完工，新增中小学学位8054个。</w:t>
      </w:r>
    </w:p>
    <w:p w14:paraId="63B26DB6">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eastAsia="zh-CN"/>
        </w:rPr>
        <w:t>坚持改革创新</w:t>
      </w:r>
      <w:r>
        <w:rPr>
          <w:rFonts w:hint="eastAsia" w:ascii="仿宋_GB2312" w:hAnsi="仿宋_GB2312" w:eastAsia="仿宋_GB2312" w:cs="仿宋_GB2312"/>
          <w:b/>
          <w:bCs/>
          <w:sz w:val="32"/>
          <w:szCs w:val="32"/>
          <w:highlight w:val="none"/>
          <w:lang w:val="en-US" w:eastAsia="zh-CN"/>
        </w:rPr>
        <w:t>方面，</w:t>
      </w:r>
      <w:r>
        <w:rPr>
          <w:rFonts w:hint="eastAsia" w:ascii="仿宋_GB2312" w:hAnsi="仿宋_GB2312" w:eastAsia="仿宋_GB2312" w:cs="仿宋_GB2312"/>
          <w:sz w:val="32"/>
          <w:szCs w:val="32"/>
          <w:highlight w:val="none"/>
          <w:lang w:eastAsia="zh-CN"/>
        </w:rPr>
        <w:t>被推荐为全国特殊教育改革实验区，</w:t>
      </w:r>
      <w:r>
        <w:rPr>
          <w:rFonts w:hint="eastAsia" w:ascii="仿宋_GB2312" w:hAnsi="仿宋_GB2312" w:eastAsia="仿宋_GB2312" w:cs="仿宋_GB2312"/>
          <w:sz w:val="32"/>
          <w:szCs w:val="32"/>
          <w:highlight w:val="none"/>
          <w:lang w:val="en-US" w:eastAsia="zh-CN"/>
        </w:rPr>
        <w:t>承接并</w:t>
      </w:r>
      <w:r>
        <w:rPr>
          <w:rFonts w:hint="eastAsia" w:ascii="仿宋_GB2312" w:hAnsi="仿宋_GB2312" w:eastAsia="仿宋_GB2312" w:cs="仿宋_GB2312"/>
          <w:sz w:val="32"/>
          <w:szCs w:val="32"/>
          <w:highlight w:val="none"/>
          <w:lang w:eastAsia="zh-CN"/>
        </w:rPr>
        <w:t>发挥</w:t>
      </w:r>
      <w:r>
        <w:rPr>
          <w:rFonts w:hint="eastAsia" w:ascii="仿宋_GB2312" w:hAnsi="仿宋_GB2312" w:eastAsia="仿宋_GB2312" w:cs="仿宋_GB2312"/>
          <w:sz w:val="32"/>
          <w:szCs w:val="32"/>
          <w:highlight w:val="none"/>
        </w:rPr>
        <w:t>13</w:t>
      </w:r>
      <w:r>
        <w:rPr>
          <w:rFonts w:hint="eastAsia" w:ascii="仿宋_GB2312" w:hAnsi="仿宋_GB2312" w:eastAsia="仿宋_GB2312" w:cs="仿宋_GB2312"/>
          <w:sz w:val="32"/>
          <w:szCs w:val="32"/>
          <w:highlight w:val="none"/>
          <w:lang w:eastAsia="zh-CN"/>
        </w:rPr>
        <w:t>项</w:t>
      </w:r>
      <w:r>
        <w:rPr>
          <w:rFonts w:hint="eastAsia" w:ascii="仿宋_GB2312" w:hAnsi="仿宋_GB2312" w:eastAsia="仿宋_GB2312" w:cs="仿宋_GB2312"/>
          <w:sz w:val="32"/>
          <w:szCs w:val="32"/>
          <w:highlight w:val="none"/>
        </w:rPr>
        <w:t>国家级改革项目</w:t>
      </w:r>
      <w:r>
        <w:rPr>
          <w:rFonts w:hint="eastAsia" w:ascii="仿宋_GB2312" w:hAnsi="仿宋_GB2312" w:eastAsia="仿宋_GB2312" w:cs="仿宋_GB2312"/>
          <w:sz w:val="32"/>
          <w:szCs w:val="32"/>
          <w:highlight w:val="none"/>
          <w:lang w:eastAsia="zh-CN"/>
        </w:rPr>
        <w:t>牵引作用。</w:t>
      </w:r>
    </w:p>
    <w:p w14:paraId="526DF01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eastAsia="zh-CN"/>
        </w:rPr>
        <w:t>提升育人质量</w:t>
      </w:r>
      <w:r>
        <w:rPr>
          <w:rFonts w:hint="eastAsia" w:ascii="仿宋_GB2312" w:hAnsi="仿宋_GB2312" w:eastAsia="仿宋_GB2312" w:cs="仿宋_GB2312"/>
          <w:b/>
          <w:bCs/>
          <w:sz w:val="32"/>
          <w:szCs w:val="32"/>
          <w:highlight w:val="none"/>
          <w:lang w:val="en-US" w:eastAsia="zh-CN"/>
        </w:rPr>
        <w:t>方面，</w:t>
      </w:r>
      <w:r>
        <w:rPr>
          <w:rFonts w:hint="eastAsia" w:ascii="仿宋_GB2312" w:hAnsi="仿宋_GB2312" w:eastAsia="仿宋_GB2312" w:cs="仿宋_GB2312"/>
          <w:sz w:val="32"/>
          <w:szCs w:val="32"/>
          <w:highlight w:val="none"/>
        </w:rPr>
        <w:t>巩固“双减”成果</w:t>
      </w:r>
      <w:r>
        <w:rPr>
          <w:rFonts w:hint="eastAsia" w:ascii="仿宋_GB2312" w:hAnsi="仿宋_GB2312" w:eastAsia="仿宋_GB2312" w:cs="仿宋_GB2312"/>
          <w:sz w:val="32"/>
          <w:szCs w:val="32"/>
          <w:highlight w:val="none"/>
          <w:lang w:eastAsia="zh-CN"/>
        </w:rPr>
        <w:t>，</w:t>
      </w:r>
      <w:r>
        <w:rPr>
          <w:rFonts w:hint="eastAsia" w:ascii="仿宋_GB2312" w:eastAsia="仿宋_GB2312"/>
          <w:sz w:val="32"/>
          <w:szCs w:val="32"/>
          <w:highlight w:val="none"/>
        </w:rPr>
        <w:t>保持对隐形变异机构的高压态势，全年组织2.8万余人次检查，关注重点点位6660余址，移送市场监管部门132件次，通报涉嫌隐形变异违规培训92起。</w:t>
      </w:r>
    </w:p>
    <w:p w14:paraId="4A082081">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eastAsia="zh-CN"/>
        </w:rPr>
        <w:t>完善治理体系</w:t>
      </w:r>
      <w:r>
        <w:rPr>
          <w:rFonts w:hint="eastAsia" w:ascii="仿宋_GB2312" w:hAnsi="仿宋_GB2312" w:eastAsia="仿宋_GB2312" w:cs="仿宋_GB2312"/>
          <w:b/>
          <w:bCs/>
          <w:sz w:val="32"/>
          <w:szCs w:val="32"/>
          <w:highlight w:val="none"/>
          <w:lang w:val="en-US" w:eastAsia="zh-CN"/>
        </w:rPr>
        <w:t>方面</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利用暑期完成了36所校园食堂的升级改造，</w:t>
      </w:r>
      <w:r>
        <w:rPr>
          <w:rFonts w:hint="eastAsia" w:ascii="仿宋_GB2312" w:hAnsi="仿宋_GB2312" w:eastAsia="仿宋_GB2312" w:cs="仿宋_GB2312"/>
          <w:sz w:val="32"/>
          <w:szCs w:val="32"/>
          <w:highlight w:val="none"/>
          <w:lang w:eastAsia="zh-CN"/>
        </w:rPr>
        <w:t>上放学高峰期巡查学校431（所）次，寄宿部安全检查112（所）次，建筑物和消防安全检查98（所）次，</w:t>
      </w:r>
      <w:r>
        <w:rPr>
          <w:rFonts w:hint="eastAsia" w:ascii="仿宋_GB2312" w:hAnsi="仿宋_GB2312" w:eastAsia="仿宋_GB2312" w:cs="仿宋_GB2312"/>
          <w:sz w:val="32"/>
          <w:szCs w:val="32"/>
          <w:highlight w:val="none"/>
          <w:lang w:val="en-US" w:eastAsia="zh-CN"/>
        </w:rPr>
        <w:t>落实</w:t>
      </w:r>
      <w:r>
        <w:rPr>
          <w:rFonts w:hint="eastAsia" w:ascii="仿宋_GB2312" w:hAnsi="仿宋_GB2312" w:eastAsia="仿宋_GB2312" w:cs="仿宋_GB2312"/>
          <w:sz w:val="32"/>
          <w:szCs w:val="32"/>
          <w:highlight w:val="none"/>
          <w:lang w:eastAsia="zh-CN"/>
        </w:rPr>
        <w:t>市级专班部署已开通通学车学校24所，开行线路45条，</w:t>
      </w:r>
      <w:r>
        <w:rPr>
          <w:rFonts w:hint="eastAsia" w:ascii="仿宋_GB2312" w:hAnsi="仿宋_GB2312" w:eastAsia="仿宋_GB2312" w:cs="仿宋_GB2312"/>
          <w:sz w:val="32"/>
          <w:szCs w:val="32"/>
          <w:highlight w:val="none"/>
          <w:lang w:val="en-US" w:eastAsia="zh-CN"/>
        </w:rPr>
        <w:t>切实守好安全底线。</w:t>
      </w:r>
    </w:p>
    <w:p w14:paraId="37C96F55">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highlight w:val="none"/>
          <w:lang w:val="en-US" w:eastAsia="zh-CN"/>
        </w:rPr>
      </w:pPr>
      <w:r>
        <w:rPr>
          <w:rFonts w:hint="eastAsia" w:ascii="仿宋_GB2312" w:hAnsi="仿宋_GB2312" w:eastAsia="仿宋_GB2312" w:cs="仿宋_GB2312"/>
          <w:b/>
          <w:bCs/>
          <w:sz w:val="32"/>
          <w:szCs w:val="32"/>
          <w:highlight w:val="none"/>
          <w:lang w:val="en-US" w:eastAsia="zh-CN"/>
        </w:rPr>
        <w:t>产出质量方面，</w:t>
      </w:r>
      <w:r>
        <w:rPr>
          <w:rFonts w:hint="eastAsia" w:ascii="仿宋_GB2312" w:hAnsi="仿宋_GB2312" w:eastAsia="仿宋_GB2312" w:cs="仿宋_GB2312"/>
          <w:sz w:val="32"/>
          <w:szCs w:val="32"/>
          <w:highlight w:val="none"/>
          <w:lang w:val="en-US" w:eastAsia="zh-CN"/>
        </w:rPr>
        <w:t>区教委把控工作质量，各项重点任务完成后配套必要的验收检查，确保质量完成合格率达到100%。</w:t>
      </w:r>
    </w:p>
    <w:p w14:paraId="189A28F5">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3"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产出进度方面，</w:t>
      </w:r>
      <w:r>
        <w:rPr>
          <w:rFonts w:hint="eastAsia" w:ascii="仿宋_GB2312" w:hAnsi="仿宋_GB2312" w:eastAsia="仿宋_GB2312" w:cs="仿宋_GB2312"/>
          <w:sz w:val="32"/>
          <w:szCs w:val="32"/>
          <w:highlight w:val="none"/>
          <w:lang w:val="en-US" w:eastAsia="zh-CN"/>
        </w:rPr>
        <w:t>区教委按照计划要求，完成部门年度重点工作任务，年度各项工作有序推进并落实，有效保障了各项重点工作的实施进度及产出时效性。</w:t>
      </w:r>
    </w:p>
    <w:p w14:paraId="5CE10DD9">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rPr>
      </w:pPr>
      <w:bookmarkStart w:id="9" w:name="_Toc633519393"/>
      <w:r>
        <w:rPr>
          <w:rFonts w:hint="eastAsia" w:ascii="楷体_GB2312" w:hAnsi="Times New Roman" w:eastAsia="楷体_GB2312" w:cs="Times New Roman"/>
          <w:sz w:val="32"/>
          <w:szCs w:val="32"/>
          <w:highlight w:val="none"/>
          <w:lang w:eastAsia="zh-CN"/>
        </w:rPr>
        <w:t>（</w:t>
      </w:r>
      <w:r>
        <w:rPr>
          <w:rFonts w:hint="eastAsia" w:ascii="楷体_GB2312" w:hAnsi="Times New Roman" w:eastAsia="楷体_GB2312" w:cs="Times New Roman"/>
          <w:sz w:val="32"/>
          <w:szCs w:val="32"/>
          <w:highlight w:val="none"/>
          <w:lang w:val="en-US" w:eastAsia="zh-CN"/>
        </w:rPr>
        <w:t>二）</w:t>
      </w:r>
      <w:r>
        <w:rPr>
          <w:rFonts w:hint="eastAsia" w:ascii="楷体_GB2312" w:hAnsi="Times New Roman" w:eastAsia="楷体_GB2312" w:cs="Times New Roman"/>
          <w:sz w:val="32"/>
          <w:szCs w:val="32"/>
          <w:highlight w:val="none"/>
        </w:rPr>
        <w:t>效果实现情况分析</w:t>
      </w:r>
      <w:bookmarkEnd w:id="9"/>
    </w:p>
    <w:p w14:paraId="54222210">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1.牢牢</w:t>
      </w:r>
      <w:r>
        <w:rPr>
          <w:rFonts w:hint="eastAsia" w:ascii="仿宋_GB2312" w:hAnsi="仿宋_GB2312" w:eastAsia="仿宋_GB2312" w:cs="仿宋_GB2312"/>
          <w:sz w:val="32"/>
          <w:szCs w:val="32"/>
          <w:highlight w:val="none"/>
        </w:rPr>
        <w:t>把握</w:t>
      </w:r>
      <w:r>
        <w:rPr>
          <w:rFonts w:hint="eastAsia" w:ascii="仿宋_GB2312" w:hAnsi="仿宋_GB2312" w:eastAsia="仿宋_GB2312" w:cs="仿宋_GB2312"/>
          <w:sz w:val="32"/>
          <w:szCs w:val="32"/>
          <w:highlight w:val="none"/>
          <w:lang w:eastAsia="zh-CN"/>
        </w:rPr>
        <w:t>教育的</w:t>
      </w:r>
      <w:r>
        <w:rPr>
          <w:rFonts w:hint="eastAsia" w:ascii="仿宋_GB2312" w:hAnsi="仿宋_GB2312" w:eastAsia="仿宋_GB2312" w:cs="仿宋_GB2312"/>
          <w:sz w:val="32"/>
          <w:szCs w:val="32"/>
          <w:highlight w:val="none"/>
        </w:rPr>
        <w:t>政治属性，把党的领导贯穿办学治校全方位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推进</w:t>
      </w:r>
      <w:r>
        <w:rPr>
          <w:rFonts w:hint="eastAsia" w:ascii="仿宋_GB2312" w:hAnsi="仿宋_GB2312" w:eastAsia="仿宋_GB2312" w:cs="仿宋_GB2312"/>
          <w:sz w:val="32"/>
          <w:szCs w:val="32"/>
          <w:highlight w:val="none"/>
          <w:lang w:eastAsia="zh-CN"/>
        </w:rPr>
        <w:t>中小学</w:t>
      </w:r>
      <w:r>
        <w:rPr>
          <w:rFonts w:hint="eastAsia" w:ascii="仿宋_GB2312" w:hAnsi="仿宋_GB2312" w:eastAsia="仿宋_GB2312" w:cs="仿宋_GB2312"/>
          <w:sz w:val="32"/>
          <w:szCs w:val="32"/>
          <w:highlight w:val="none"/>
        </w:rPr>
        <w:t>书记、校长分设，调整正职80余人，优化</w:t>
      </w:r>
      <w:r>
        <w:rPr>
          <w:rFonts w:hint="eastAsia" w:ascii="仿宋_GB2312" w:hAnsi="仿宋_GB2312" w:eastAsia="仿宋_GB2312" w:cs="仿宋_GB2312"/>
          <w:sz w:val="32"/>
          <w:szCs w:val="32"/>
          <w:highlight w:val="none"/>
          <w:lang w:eastAsia="zh-CN"/>
        </w:rPr>
        <w:t>学校</w:t>
      </w:r>
      <w:r>
        <w:rPr>
          <w:rFonts w:hint="eastAsia" w:ascii="仿宋_GB2312" w:hAnsi="仿宋_GB2312" w:eastAsia="仿宋_GB2312" w:cs="仿宋_GB2312"/>
          <w:sz w:val="32"/>
          <w:szCs w:val="32"/>
          <w:highlight w:val="none"/>
        </w:rPr>
        <w:t>议事决策制度。完善“双培养”机制，加大在高层次人才和思政课教师中发展党员的力度，新发展党员189名。</w:t>
      </w:r>
      <w:r>
        <w:rPr>
          <w:rFonts w:hint="eastAsia" w:ascii="仿宋_GB2312" w:hAnsi="仿宋_GB2312" w:eastAsia="仿宋_GB2312" w:cs="仿宋_GB2312"/>
          <w:sz w:val="32"/>
          <w:szCs w:val="32"/>
          <w:highlight w:val="none"/>
          <w:lang w:eastAsia="zh-CN"/>
        </w:rPr>
        <w:t>强化思政引领，推进</w:t>
      </w:r>
      <w:r>
        <w:rPr>
          <w:rFonts w:hint="eastAsia" w:ascii="仿宋_GB2312" w:hAnsi="仿宋_GB2312" w:eastAsia="仿宋_GB2312" w:cs="仿宋_GB2312"/>
          <w:sz w:val="32"/>
          <w:szCs w:val="32"/>
          <w:highlight w:val="none"/>
        </w:rPr>
        <w:t>大中小思政一体化建设</w:t>
      </w:r>
      <w:r>
        <w:rPr>
          <w:rFonts w:hint="eastAsia" w:ascii="仿宋_GB2312" w:hAnsi="仿宋_GB2312" w:eastAsia="仿宋_GB2312" w:cs="仿宋_GB2312"/>
          <w:sz w:val="32"/>
          <w:szCs w:val="32"/>
          <w:highlight w:val="none"/>
          <w:lang w:eastAsia="zh-CN"/>
        </w:rPr>
        <w:t>，探索艺术、体育思政。</w:t>
      </w:r>
    </w:p>
    <w:p w14:paraId="78E03AF1">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2.始终</w:t>
      </w:r>
      <w:r>
        <w:rPr>
          <w:rFonts w:hint="eastAsia" w:ascii="仿宋_GB2312" w:hAnsi="仿宋_GB2312" w:eastAsia="仿宋_GB2312" w:cs="仿宋_GB2312"/>
          <w:sz w:val="32"/>
          <w:szCs w:val="32"/>
          <w:highlight w:val="none"/>
        </w:rPr>
        <w:t>坚守</w:t>
      </w:r>
      <w:r>
        <w:rPr>
          <w:rFonts w:hint="eastAsia" w:ascii="仿宋_GB2312" w:hAnsi="仿宋_GB2312" w:eastAsia="仿宋_GB2312" w:cs="仿宋_GB2312"/>
          <w:sz w:val="32"/>
          <w:szCs w:val="32"/>
          <w:highlight w:val="none"/>
          <w:lang w:eastAsia="zh-CN"/>
        </w:rPr>
        <w:t>教育的</w:t>
      </w:r>
      <w:r>
        <w:rPr>
          <w:rFonts w:hint="eastAsia" w:ascii="仿宋_GB2312" w:hAnsi="仿宋_GB2312" w:eastAsia="仿宋_GB2312" w:cs="仿宋_GB2312"/>
          <w:sz w:val="32"/>
          <w:szCs w:val="32"/>
          <w:highlight w:val="none"/>
        </w:rPr>
        <w:t>人民属性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教育资源</w:t>
      </w:r>
      <w:r>
        <w:rPr>
          <w:rFonts w:hint="eastAsia" w:ascii="仿宋_GB2312" w:hAnsi="仿宋_GB2312" w:eastAsia="仿宋_GB2312" w:cs="仿宋_GB2312"/>
          <w:sz w:val="32"/>
          <w:szCs w:val="32"/>
          <w:highlight w:val="none"/>
          <w:lang w:eastAsia="zh-CN"/>
        </w:rPr>
        <w:t>总</w:t>
      </w:r>
      <w:r>
        <w:rPr>
          <w:rFonts w:hint="eastAsia" w:ascii="仿宋_GB2312" w:hAnsi="仿宋_GB2312" w:eastAsia="仿宋_GB2312" w:cs="仿宋_GB2312"/>
          <w:sz w:val="32"/>
          <w:szCs w:val="32"/>
          <w:highlight w:val="none"/>
        </w:rPr>
        <w:t>量和</w:t>
      </w:r>
      <w:r>
        <w:rPr>
          <w:rFonts w:hint="eastAsia" w:ascii="仿宋_GB2312" w:hAnsi="仿宋_GB2312" w:eastAsia="仿宋_GB2312" w:cs="仿宋_GB2312"/>
          <w:sz w:val="32"/>
          <w:szCs w:val="32"/>
          <w:highlight w:val="none"/>
          <w:lang w:eastAsia="zh-CN"/>
        </w:rPr>
        <w:t>质量</w:t>
      </w:r>
      <w:r>
        <w:rPr>
          <w:rFonts w:hint="eastAsia" w:ascii="仿宋_GB2312" w:hAnsi="仿宋_GB2312" w:eastAsia="仿宋_GB2312" w:cs="仿宋_GB2312"/>
          <w:sz w:val="32"/>
          <w:szCs w:val="32"/>
          <w:highlight w:val="none"/>
        </w:rPr>
        <w:t>达到新高度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在全市率先实现公办中小学全部集团化</w:t>
      </w:r>
      <w:r>
        <w:rPr>
          <w:rFonts w:hint="eastAsia" w:ascii="仿宋_GB2312" w:hAnsi="仿宋_GB2312" w:eastAsia="仿宋_GB2312" w:cs="仿宋_GB2312"/>
          <w:sz w:val="32"/>
          <w:szCs w:val="32"/>
          <w:highlight w:val="none"/>
          <w:lang w:eastAsia="zh-CN"/>
        </w:rPr>
        <w:t>，获评国家</w:t>
      </w:r>
      <w:r>
        <w:rPr>
          <w:rFonts w:hint="eastAsia" w:ascii="仿宋_GB2312" w:hAnsi="仿宋_GB2312" w:eastAsia="仿宋_GB2312" w:cs="仿宋_GB2312"/>
          <w:sz w:val="32"/>
          <w:szCs w:val="32"/>
          <w:highlight w:val="none"/>
        </w:rPr>
        <w:t>义务教育优质均衡发展</w:t>
      </w:r>
      <w:r>
        <w:rPr>
          <w:rFonts w:hint="eastAsia" w:ascii="仿宋_GB2312" w:hAnsi="仿宋_GB2312" w:eastAsia="仿宋_GB2312" w:cs="仿宋_GB2312"/>
          <w:sz w:val="32"/>
          <w:szCs w:val="32"/>
          <w:highlight w:val="none"/>
          <w:lang w:eastAsia="zh-CN"/>
        </w:rPr>
        <w:t>区</w:t>
      </w:r>
      <w:r>
        <w:rPr>
          <w:rFonts w:hint="eastAsia" w:ascii="仿宋_GB2312" w:hAnsi="仿宋_GB2312" w:eastAsia="仿宋_GB2312" w:cs="仿宋_GB2312"/>
          <w:sz w:val="32"/>
          <w:szCs w:val="32"/>
          <w:highlight w:val="none"/>
        </w:rPr>
        <w:t>。推动新建教育设施由名校承办</w:t>
      </w:r>
      <w:r>
        <w:rPr>
          <w:rFonts w:hint="eastAsia" w:ascii="仿宋_GB2312" w:hAnsi="仿宋_GB2312" w:eastAsia="仿宋_GB2312" w:cs="仿宋_GB2312"/>
          <w:sz w:val="32"/>
          <w:szCs w:val="32"/>
          <w:highlight w:val="none"/>
          <w:lang w:eastAsia="zh-CN"/>
        </w:rPr>
        <w:t>，实现高起点办学</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lang w:eastAsia="zh-CN"/>
        </w:rPr>
        <w:t>幼儿园</w:t>
      </w:r>
      <w:r>
        <w:rPr>
          <w:rFonts w:hint="eastAsia" w:ascii="仿宋_GB2312" w:hAnsi="仿宋_GB2312" w:eastAsia="仿宋_GB2312" w:cs="仿宋_GB2312"/>
          <w:sz w:val="32"/>
          <w:szCs w:val="32"/>
          <w:highlight w:val="none"/>
        </w:rPr>
        <w:t>公办率达到80%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实现</w:t>
      </w:r>
      <w:r>
        <w:rPr>
          <w:rFonts w:hint="eastAsia" w:ascii="仿宋_GB2312" w:hAnsi="仿宋_GB2312" w:eastAsia="仿宋_GB2312" w:cs="仿宋_GB2312"/>
          <w:sz w:val="32"/>
          <w:szCs w:val="32"/>
          <w:highlight w:val="none"/>
        </w:rPr>
        <w:t>9个</w:t>
      </w:r>
      <w:r>
        <w:rPr>
          <w:rFonts w:hint="eastAsia" w:ascii="仿宋_GB2312" w:hAnsi="仿宋_GB2312" w:eastAsia="仿宋_GB2312" w:cs="仿宋_GB2312"/>
          <w:sz w:val="32"/>
          <w:szCs w:val="32"/>
          <w:highlight w:val="none"/>
          <w:lang w:eastAsia="zh-CN"/>
        </w:rPr>
        <w:t>新建改扩建</w:t>
      </w:r>
      <w:r>
        <w:rPr>
          <w:rFonts w:hint="eastAsia" w:ascii="仿宋_GB2312" w:hAnsi="仿宋_GB2312" w:eastAsia="仿宋_GB2312" w:cs="仿宋_GB2312"/>
          <w:sz w:val="32"/>
          <w:szCs w:val="32"/>
          <w:highlight w:val="none"/>
        </w:rPr>
        <w:t>项目完工，新增中小学学位8054个。</w:t>
      </w:r>
    </w:p>
    <w:p w14:paraId="3ECA5E3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深入研究教育的</w:t>
      </w:r>
      <w:r>
        <w:rPr>
          <w:rFonts w:hint="eastAsia" w:ascii="仿宋_GB2312" w:hAnsi="仿宋_GB2312" w:eastAsia="仿宋_GB2312" w:cs="仿宋_GB2312"/>
          <w:sz w:val="32"/>
          <w:szCs w:val="32"/>
          <w:highlight w:val="none"/>
        </w:rPr>
        <w:t>战略属性</w:t>
      </w:r>
      <w:r>
        <w:rPr>
          <w:rFonts w:hint="eastAsia" w:ascii="仿宋_GB2312" w:hAnsi="仿宋_GB2312" w:eastAsia="仿宋_GB2312" w:cs="仿宋_GB2312"/>
          <w:sz w:val="32"/>
          <w:szCs w:val="32"/>
          <w:highlight w:val="none"/>
          <w:lang w:eastAsia="zh-CN"/>
        </w:rPr>
        <w:t>，在教育综合改革中优化拔尖创新人才培养。被推荐为全国特殊教育改革实验区。发挥</w:t>
      </w:r>
      <w:r>
        <w:rPr>
          <w:rFonts w:hint="eastAsia" w:ascii="仿宋_GB2312" w:hAnsi="仿宋_GB2312" w:eastAsia="仿宋_GB2312" w:cs="仿宋_GB2312"/>
          <w:sz w:val="32"/>
          <w:szCs w:val="32"/>
          <w:highlight w:val="none"/>
        </w:rPr>
        <w:t>13</w:t>
      </w:r>
      <w:r>
        <w:rPr>
          <w:rFonts w:hint="eastAsia" w:ascii="仿宋_GB2312" w:hAnsi="仿宋_GB2312" w:eastAsia="仿宋_GB2312" w:cs="仿宋_GB2312"/>
          <w:sz w:val="32"/>
          <w:szCs w:val="32"/>
          <w:highlight w:val="none"/>
          <w:lang w:eastAsia="zh-CN"/>
        </w:rPr>
        <w:t>项</w:t>
      </w:r>
      <w:r>
        <w:rPr>
          <w:rFonts w:hint="eastAsia" w:ascii="仿宋_GB2312" w:hAnsi="仿宋_GB2312" w:eastAsia="仿宋_GB2312" w:cs="仿宋_GB2312"/>
          <w:sz w:val="32"/>
          <w:szCs w:val="32"/>
          <w:highlight w:val="none"/>
        </w:rPr>
        <w:t>国家级改革项目</w:t>
      </w:r>
      <w:r>
        <w:rPr>
          <w:rFonts w:hint="eastAsia" w:ascii="仿宋_GB2312" w:hAnsi="仿宋_GB2312" w:eastAsia="仿宋_GB2312" w:cs="仿宋_GB2312"/>
          <w:sz w:val="32"/>
          <w:szCs w:val="32"/>
          <w:highlight w:val="none"/>
          <w:lang w:eastAsia="zh-CN"/>
        </w:rPr>
        <w:t>牵引作用，</w:t>
      </w:r>
      <w:r>
        <w:rPr>
          <w:rFonts w:hint="eastAsia" w:ascii="仿宋_GB2312" w:hAnsi="仿宋_GB2312" w:eastAsia="仿宋_GB2312" w:cs="仿宋_GB2312"/>
          <w:sz w:val="32"/>
          <w:szCs w:val="32"/>
          <w:highlight w:val="none"/>
        </w:rPr>
        <w:t>开展大模型教育应用场景建设</w:t>
      </w:r>
      <w:r>
        <w:rPr>
          <w:rFonts w:hint="eastAsia" w:ascii="仿宋_GB2312" w:hAnsi="仿宋_GB2312" w:eastAsia="仿宋_GB2312" w:cs="仿宋_GB2312"/>
          <w:sz w:val="32"/>
          <w:szCs w:val="32"/>
          <w:highlight w:val="none"/>
          <w:lang w:eastAsia="zh-CN"/>
        </w:rPr>
        <w:t>，打造</w:t>
      </w:r>
      <w:r>
        <w:rPr>
          <w:rFonts w:hint="eastAsia" w:ascii="仿宋_GB2312" w:hAnsi="仿宋_GB2312" w:eastAsia="仿宋_GB2312" w:cs="仿宋_GB2312"/>
          <w:sz w:val="32"/>
          <w:szCs w:val="32"/>
          <w:highlight w:val="none"/>
        </w:rPr>
        <w:t>拔尖创新人才发现与培养模式</w:t>
      </w:r>
      <w:r>
        <w:rPr>
          <w:rFonts w:hint="eastAsia" w:ascii="仿宋_GB2312" w:hAnsi="仿宋_GB2312" w:eastAsia="仿宋_GB2312" w:cs="仿宋_GB2312"/>
          <w:sz w:val="32"/>
          <w:szCs w:val="32"/>
          <w:highlight w:val="none"/>
          <w:lang w:eastAsia="zh-CN"/>
        </w:rPr>
        <w:t>，形成</w:t>
      </w:r>
      <w:r>
        <w:rPr>
          <w:rFonts w:hint="eastAsia" w:ascii="仿宋_GB2312" w:hAnsi="仿宋_GB2312" w:eastAsia="仿宋_GB2312" w:cs="仿宋_GB2312"/>
          <w:sz w:val="32"/>
          <w:szCs w:val="32"/>
          <w:highlight w:val="none"/>
        </w:rPr>
        <w:t>大中小贯通衔接、集团内外横向多元的一体化人才培养链条。</w:t>
      </w:r>
    </w:p>
    <w:p w14:paraId="23C297E0">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.切实巩固“双减”成果，不断提升育人质量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深化学科类“白名单”机构规范管理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保持对隐形变异机构的高压态势，专项打击学科培训广告</w:t>
      </w:r>
      <w:r>
        <w:rPr>
          <w:rFonts w:hint="eastAsia" w:ascii="仿宋_GB2312" w:hAnsi="仿宋_GB2312" w:eastAsia="仿宋_GB2312" w:cs="仿宋_GB2312"/>
          <w:sz w:val="32"/>
          <w:szCs w:val="32"/>
          <w:highlight w:val="none"/>
          <w:lang w:eastAsia="zh-CN"/>
        </w:rPr>
        <w:t>。落实德智体美劳全面育人，重点做好校园跑步工作，做到人人参与。持续加强心理健康教育，形成家校社共育良好氛围。</w:t>
      </w:r>
    </w:p>
    <w:p w14:paraId="44469C7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 xml:space="preserve"> 以教育家精神铸魂强师，建设素质精良的干部教师队伍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召开庆祝第40个教师节大会</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全面展示海淀区教师队伍建设成就和教师风采。召开刘晓昶</w:t>
      </w:r>
      <w:r>
        <w:rPr>
          <w:rFonts w:hint="eastAsia" w:ascii="仿宋_GB2312" w:hAnsi="仿宋_GB2312" w:eastAsia="仿宋_GB2312" w:cs="仿宋_GB2312"/>
          <w:sz w:val="32"/>
          <w:szCs w:val="32"/>
          <w:highlight w:val="none"/>
          <w:lang w:eastAsia="zh-CN"/>
        </w:rPr>
        <w:t>校长等办学实践研讨会和</w:t>
      </w:r>
      <w:r>
        <w:rPr>
          <w:rFonts w:hint="eastAsia" w:ascii="仿宋_GB2312" w:hAnsi="仿宋_GB2312" w:eastAsia="仿宋_GB2312" w:cs="仿宋_GB2312"/>
          <w:sz w:val="32"/>
          <w:szCs w:val="32"/>
          <w:highlight w:val="none"/>
        </w:rPr>
        <w:t>王晓英</w:t>
      </w:r>
      <w:r>
        <w:rPr>
          <w:rFonts w:hint="eastAsia" w:ascii="仿宋_GB2312" w:hAnsi="仿宋_GB2312" w:eastAsia="仿宋_GB2312" w:cs="仿宋_GB2312"/>
          <w:sz w:val="32"/>
          <w:szCs w:val="32"/>
          <w:highlight w:val="none"/>
          <w:lang w:eastAsia="zh-CN"/>
        </w:rPr>
        <w:t>老师等</w:t>
      </w:r>
      <w:r>
        <w:rPr>
          <w:rFonts w:hint="eastAsia" w:ascii="仿宋_GB2312" w:hAnsi="仿宋_GB2312" w:eastAsia="仿宋_GB2312" w:cs="仿宋_GB2312"/>
          <w:sz w:val="32"/>
          <w:szCs w:val="32"/>
          <w:highlight w:val="none"/>
        </w:rPr>
        <w:t>教育教学研讨会。启动新一批7个名校长工作室、5个名书记工作室的工作。</w:t>
      </w:r>
    </w:p>
    <w:p w14:paraId="46BE60DD">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.加强标准化建设，区域教育治理更加规范有序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深入开展校园食品安全和膳食经费管理专项整治行动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利用暑期完成了36所校园食堂的升级改造，全面解决全区中小学生“自带餐具”负担问题，惠及学生4.3万余人。坚决贯彻落实教育部“阳光招生”专项行动要求</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小学入学33263人，初中入学31479人，小升初公办登记入学派位计划增加了1055个，电脑派位录取方式同比增加13%以上。全力守护好校园安全底线。</w:t>
      </w:r>
    </w:p>
    <w:p w14:paraId="224756D8">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7.依法开展来访来件工作，着力提升办事效率和规范性。2024年办理有效信访信件总量4560件，信访人次4633人。其中来信274件，274人次，领导阅信80%；来访182批，255人次，北京市网上信访信息系统3615件；来电489件。 所有信访信件均在《信访工作条例》规定时限内答复交办单位和信访人，办结率100%。</w:t>
      </w:r>
    </w:p>
    <w:p w14:paraId="0A1845A2">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000000"/>
          <w:kern w:val="0"/>
          <w:sz w:val="32"/>
          <w:szCs w:val="32"/>
          <w:highlight w:val="none"/>
        </w:rPr>
      </w:pPr>
      <w:bookmarkStart w:id="10" w:name="_Toc336516325"/>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10"/>
    </w:p>
    <w:p w14:paraId="57611BC4">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ascii="楷体_GB2312" w:eastAsia="楷体_GB2312"/>
          <w:sz w:val="32"/>
          <w:szCs w:val="32"/>
          <w:highlight w:val="none"/>
        </w:rPr>
      </w:pPr>
      <w:bookmarkStart w:id="11" w:name="_Toc1505431724"/>
      <w:r>
        <w:rPr>
          <w:rFonts w:hint="eastAsia" w:ascii="楷体_GB2312" w:eastAsia="楷体_GB2312"/>
          <w:sz w:val="32"/>
          <w:szCs w:val="32"/>
          <w:highlight w:val="none"/>
        </w:rPr>
        <w:t>（一）财务管理</w:t>
      </w:r>
      <w:bookmarkEnd w:id="11"/>
    </w:p>
    <w:p w14:paraId="569A66A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rPr>
      </w:pPr>
      <w:bookmarkStart w:id="12" w:name="_Toc138656314"/>
      <w:r>
        <w:rPr>
          <w:rFonts w:hint="eastAsia" w:ascii="仿宋_GB2312" w:hAnsi="仿宋_GB2312" w:eastAsia="仿宋_GB2312" w:cs="仿宋_GB2312"/>
          <w:sz w:val="32"/>
          <w:szCs w:val="22"/>
          <w:highlight w:val="none"/>
        </w:rPr>
        <w:t>1.财务管理制度健全性</w:t>
      </w:r>
      <w:bookmarkEnd w:id="12"/>
    </w:p>
    <w:p w14:paraId="1D068073">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区教委制定了《海淀区教育委员会教育专项资金管理办法（试行）》管理制度，部门财务管理制度内容较为健全，为部门的资金使用和管理提供了有效制度保障。区教委系统所属单位财务管理制度体系建立较为健全，各单位均建立了预算管理、收支管理、资产管理、合同管理等相关制度，制度建立实现全覆盖。同时，为进一步完善财务管理制度，2024年度，部门全年共计123家单位对预算管理制度进行更新，131家单位对收支管理制度进行更新，124家单位对政府采购管理制度进行更新，122家单位更新资产管理制度，42家单位对建设项目管理制度进行更新，122家单位对合同管理制度进行更新。</w:t>
      </w:r>
    </w:p>
    <w:p w14:paraId="5D7EDEE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rPr>
      </w:pPr>
      <w:bookmarkStart w:id="13" w:name="_Toc376912403"/>
      <w:r>
        <w:rPr>
          <w:rFonts w:hint="eastAsia" w:ascii="仿宋_GB2312" w:hAnsi="仿宋_GB2312" w:eastAsia="仿宋_GB2312" w:cs="仿宋_GB2312"/>
          <w:sz w:val="32"/>
          <w:szCs w:val="22"/>
          <w:highlight w:val="none"/>
          <w:lang w:val="en-US" w:eastAsia="zh-CN"/>
        </w:rPr>
        <w:t>2.</w:t>
      </w:r>
      <w:r>
        <w:rPr>
          <w:rFonts w:hint="eastAsia" w:ascii="仿宋_GB2312" w:hAnsi="仿宋_GB2312" w:eastAsia="仿宋_GB2312" w:cs="仿宋_GB2312"/>
          <w:sz w:val="32"/>
          <w:szCs w:val="22"/>
          <w:highlight w:val="none"/>
        </w:rPr>
        <w:t>资金使用合规性和安全性</w:t>
      </w:r>
      <w:bookmarkEnd w:id="13"/>
    </w:p>
    <w:p w14:paraId="15C6321F">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区教委所属各单位按照预算批复的金额和用途使用资金，并遵照相关的财务管理制度和办法执行。在资金使用监管上，能够有效落实重大支出集体研究制度，年度资金分配履行了相关报批手续，专项资金使用建立了专户核算、统一管理制度，未发现截留、挤占、挪用、虚列支出等情况。</w:t>
      </w:r>
    </w:p>
    <w:p w14:paraId="0ACBFAB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32"/>
          <w:highlight w:val="none"/>
          <w:lang w:val="en-US" w:eastAsia="zh-CN"/>
        </w:rPr>
      </w:pPr>
      <w:bookmarkStart w:id="14" w:name="_Toc1837482218"/>
      <w:r>
        <w:rPr>
          <w:rFonts w:hint="eastAsia" w:ascii="仿宋_GB2312" w:hAnsi="仿宋_GB2312" w:eastAsia="仿宋_GB2312" w:cs="仿宋_GB2312"/>
          <w:sz w:val="32"/>
          <w:szCs w:val="22"/>
          <w:highlight w:val="none"/>
          <w:lang w:val="en-US" w:eastAsia="zh-CN"/>
        </w:rPr>
        <w:t>3.</w:t>
      </w:r>
      <w:r>
        <w:rPr>
          <w:rFonts w:hint="eastAsia" w:ascii="仿宋_GB2312" w:hAnsi="仿宋_GB2312" w:eastAsia="仿宋_GB2312" w:cs="仿宋_GB2312"/>
          <w:sz w:val="32"/>
          <w:szCs w:val="22"/>
          <w:highlight w:val="none"/>
        </w:rPr>
        <w:t>会计基础信息完善性</w:t>
      </w:r>
      <w:bookmarkEnd w:id="14"/>
    </w:p>
    <w:p w14:paraId="02EC1FE1">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highlight w:val="none"/>
        </w:rPr>
      </w:pPr>
      <w:r>
        <w:rPr>
          <w:rFonts w:hint="eastAsia" w:ascii="仿宋_GB2312" w:hAnsi="仿宋_GB2312" w:eastAsia="仿宋_GB2312" w:cs="仿宋_GB2312"/>
          <w:sz w:val="32"/>
          <w:szCs w:val="32"/>
          <w:highlight w:val="none"/>
          <w:lang w:val="en-US" w:eastAsia="zh-CN"/>
        </w:rPr>
        <w:t>区教委部门会计核算严格按照《政府会计制度—行政事业单位会计科目和报表》要求执行，能够准确反映资金预算收入支出情况，会计基础信息完善。</w:t>
      </w:r>
    </w:p>
    <w:p w14:paraId="002019FB">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15" w:name="_Toc1748794066"/>
      <w:r>
        <w:rPr>
          <w:rFonts w:hint="eastAsia" w:ascii="楷体_GB2312" w:hAnsi="Times New Roman" w:eastAsia="楷体_GB2312" w:cs="Times New Roman"/>
          <w:sz w:val="32"/>
          <w:szCs w:val="32"/>
          <w:highlight w:val="none"/>
          <w:lang w:val="en-US" w:eastAsia="zh-CN"/>
        </w:rPr>
        <w:t>（二）资产管理</w:t>
      </w:r>
      <w:bookmarkEnd w:id="15"/>
    </w:p>
    <w:p w14:paraId="0E09AFEF">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加强资产的有效管理，区教委所属各单位制定固定资产管理制度，并对已有资产建立了资产台账、资产卡片等资产信息，确保资产信息真实、完整。截至2024年12月31日，区教委部门固定资产账面价值金额合计1793347</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3</w:t>
      </w: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万元。</w:t>
      </w:r>
    </w:p>
    <w:p w14:paraId="04389B5D">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16" w:name="_Toc1520674420"/>
      <w:bookmarkStart w:id="17" w:name="_Toc23446"/>
      <w:bookmarkStart w:id="18" w:name="_Toc143793245"/>
      <w:bookmarkStart w:id="19" w:name="_Toc24372"/>
      <w:r>
        <w:rPr>
          <w:rFonts w:hint="eastAsia" w:ascii="楷体_GB2312" w:hAnsi="Times New Roman" w:eastAsia="楷体_GB2312" w:cs="Times New Roman"/>
          <w:sz w:val="32"/>
          <w:szCs w:val="32"/>
          <w:highlight w:val="none"/>
          <w:lang w:val="en-US" w:eastAsia="zh-CN"/>
        </w:rPr>
        <w:t>（三）绩效管理</w:t>
      </w:r>
      <w:bookmarkEnd w:id="16"/>
      <w:bookmarkEnd w:id="17"/>
      <w:bookmarkEnd w:id="18"/>
      <w:bookmarkEnd w:id="19"/>
    </w:p>
    <w:p w14:paraId="6B40ADA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lang w:val="en-US" w:eastAsia="zh-CN"/>
        </w:rPr>
      </w:pPr>
      <w:bookmarkStart w:id="20" w:name="_Toc772093993"/>
      <w:r>
        <w:rPr>
          <w:rFonts w:hint="eastAsia" w:ascii="仿宋_GB2312" w:hAnsi="仿宋_GB2312" w:eastAsia="仿宋_GB2312" w:cs="仿宋_GB2312"/>
          <w:sz w:val="32"/>
          <w:szCs w:val="22"/>
          <w:highlight w:val="none"/>
          <w:lang w:val="en-US" w:eastAsia="zh-CN"/>
        </w:rPr>
        <w:t>1.健全预算绩效管理体系</w:t>
      </w:r>
      <w:bookmarkEnd w:id="20"/>
    </w:p>
    <w:p w14:paraId="194417DE">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区教委建立了“预算编制有目标、预算执行有监控、预算完成有评价、评价结果有反馈、反馈结果有应用”的全过程预算绩效管理机制，由财务科对部门预算绩效管理进行统筹、组织和指导。所属各单位根据年度工作计划和部门职责完成项目申报、组织实施等工作，预算绩效管理工作开展有效。</w:t>
      </w:r>
    </w:p>
    <w:p w14:paraId="6562CE9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2"/>
        <w:rPr>
          <w:rFonts w:hint="eastAsia" w:ascii="仿宋_GB2312" w:hAnsi="仿宋_GB2312" w:eastAsia="仿宋_GB2312" w:cs="仿宋_GB2312"/>
          <w:sz w:val="32"/>
          <w:szCs w:val="22"/>
          <w:highlight w:val="none"/>
          <w:lang w:val="en-US" w:eastAsia="zh-CN"/>
        </w:rPr>
      </w:pPr>
      <w:bookmarkStart w:id="21" w:name="_Toc1487545177"/>
      <w:r>
        <w:rPr>
          <w:rFonts w:hint="eastAsia" w:ascii="仿宋_GB2312" w:hAnsi="仿宋_GB2312" w:eastAsia="仿宋_GB2312" w:cs="仿宋_GB2312"/>
          <w:sz w:val="32"/>
          <w:szCs w:val="22"/>
          <w:highlight w:val="none"/>
          <w:lang w:val="en-US" w:eastAsia="zh-CN"/>
        </w:rPr>
        <w:t>2.深化全过程预算绩效管理</w:t>
      </w:r>
      <w:bookmarkEnd w:id="21"/>
    </w:p>
    <w:p w14:paraId="2A0CE5FA">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一是抓好绩效目标编制，项目负责人随同项目申报报送绩效目标，区教委随同项目审核完成对部门所有项目绩效目标的审核工作。</w:t>
      </w:r>
    </w:p>
    <w:p w14:paraId="1B2CD8FF">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二是建立全过程预算绩效管理链条，注重优化项目事前论证，加强绩效目标管理，对所有教育专项资金项目开展事前论证，论证结果作为申请预算的必备要件。</w:t>
      </w:r>
    </w:p>
    <w:p w14:paraId="1303D01B">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三是深入开展绩效跟踪及绩效自评。2024年中，区教委财务科组织对项目进行绩效跟踪，各项目据实填报项目目标及预算完成情况，财务科组织对填报结果进行审核并汇总。2024年度预算执行结束后，财务科负责按照区财政局要求组织预算绩效评价工作，各单位根据项目执行情况填报绩效目标自评表并配合开展绩效评价工作。</w:t>
      </w:r>
    </w:p>
    <w:p w14:paraId="33772736">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22" w:name="_Toc14421"/>
      <w:bookmarkStart w:id="23" w:name="_Toc167171465"/>
      <w:bookmarkStart w:id="24" w:name="_Toc143793246"/>
      <w:bookmarkStart w:id="25" w:name="_Toc19739"/>
      <w:r>
        <w:rPr>
          <w:rFonts w:hint="eastAsia" w:ascii="楷体_GB2312" w:hAnsi="Times New Roman" w:eastAsia="楷体_GB2312" w:cs="Times New Roman"/>
          <w:sz w:val="32"/>
          <w:szCs w:val="32"/>
          <w:highlight w:val="none"/>
          <w:lang w:val="en-US" w:eastAsia="zh-CN"/>
        </w:rPr>
        <w:t>（四）结转结余率</w:t>
      </w:r>
      <w:bookmarkEnd w:id="22"/>
      <w:bookmarkEnd w:id="23"/>
      <w:bookmarkEnd w:id="24"/>
      <w:bookmarkEnd w:id="25"/>
    </w:p>
    <w:p w14:paraId="23811412">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2024年区教委全年支出预算</w:t>
      </w:r>
      <w:r>
        <w:rPr>
          <w:rFonts w:hint="eastAsia" w:ascii="仿宋_GB2312" w:hAnsi="仿宋_GB2312" w:eastAsia="仿宋_GB2312" w:cs="仿宋_GB2312"/>
          <w:sz w:val="32"/>
          <w:szCs w:val="32"/>
          <w:highlight w:val="none"/>
        </w:rPr>
        <w:t>18</w:t>
      </w:r>
      <w:r>
        <w:rPr>
          <w:rFonts w:hint="default" w:ascii="仿宋_GB2312" w:hAnsi="仿宋_GB2312" w:eastAsia="仿宋_GB2312" w:cs="仿宋_GB2312"/>
          <w:sz w:val="32"/>
          <w:szCs w:val="32"/>
          <w:highlight w:val="none"/>
          <w:lang w:val="en-US"/>
        </w:rPr>
        <w:t>11270.60</w:t>
      </w:r>
      <w:r>
        <w:rPr>
          <w:rFonts w:hint="eastAsia" w:ascii="仿宋_GB2312" w:hAnsi="仿宋_GB2312" w:eastAsia="仿宋_GB2312" w:cs="仿宋_GB2312"/>
          <w:sz w:val="32"/>
          <w:szCs w:val="32"/>
          <w:highlight w:val="none"/>
          <w:lang w:val="en-US" w:eastAsia="zh-CN"/>
        </w:rPr>
        <w:t>万元，年末结转结余资金为</w:t>
      </w:r>
      <w:r>
        <w:rPr>
          <w:rFonts w:hint="eastAsia" w:ascii="仿宋_GB2312" w:hAnsi="仿宋_GB2312" w:eastAsia="仿宋_GB2312" w:cs="仿宋_GB2312"/>
          <w:kern w:val="2"/>
          <w:sz w:val="32"/>
          <w:szCs w:val="32"/>
          <w:highlight w:val="none"/>
          <w:lang w:val="en-US" w:eastAsia="zh-CN" w:bidi="ar-SA"/>
        </w:rPr>
        <w:t>1741</w:t>
      </w:r>
      <w:r>
        <w:rPr>
          <w:rFonts w:hint="default"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CN" w:bidi="ar-SA"/>
        </w:rPr>
        <w:t>2</w:t>
      </w:r>
      <w:r>
        <w:rPr>
          <w:rFonts w:hint="default" w:ascii="仿宋_GB2312" w:hAnsi="仿宋_GB2312" w:eastAsia="仿宋_GB2312" w:cs="仿宋_GB2312"/>
          <w:kern w:val="2"/>
          <w:sz w:val="32"/>
          <w:szCs w:val="32"/>
          <w:highlight w:val="none"/>
          <w:lang w:val="en-US" w:eastAsia="zh-CN" w:bidi="ar-SA"/>
        </w:rPr>
        <w:t>6</w:t>
      </w:r>
      <w:r>
        <w:rPr>
          <w:rFonts w:hint="eastAsia" w:ascii="仿宋_GB2312" w:hAnsi="仿宋_GB2312" w:eastAsia="仿宋_GB2312" w:cs="仿宋_GB2312"/>
          <w:sz w:val="32"/>
          <w:szCs w:val="32"/>
          <w:highlight w:val="none"/>
          <w:lang w:val="en-US" w:eastAsia="zh-CN"/>
        </w:rPr>
        <w:t>万元，资金结转结余率0.1</w:t>
      </w:r>
      <w:r>
        <w:rPr>
          <w:rFonts w:hint="default"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en-US" w:eastAsia="zh-CN"/>
        </w:rPr>
        <w:t>%；2023年区教委全年支出预算1794909.23万元，年末结转结余资金为2748.71万元，资金结转结余率0.15%。</w:t>
      </w:r>
      <w:bookmarkStart w:id="26" w:name="_Toc32337"/>
      <w:bookmarkStart w:id="27" w:name="_Toc19733"/>
      <w:r>
        <w:rPr>
          <w:rFonts w:hint="eastAsia" w:ascii="仿宋_GB2312" w:hAnsi="仿宋_GB2312" w:eastAsia="仿宋_GB2312" w:cs="仿宋_GB2312"/>
          <w:sz w:val="32"/>
          <w:szCs w:val="32"/>
          <w:highlight w:val="none"/>
          <w:lang w:val="en-US" w:eastAsia="zh-CN"/>
        </w:rPr>
        <w:t>2024年区教委结转结余资金较上一年度下降0.05%。</w:t>
      </w:r>
    </w:p>
    <w:p w14:paraId="4129158A">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28" w:name="_Toc742201979"/>
      <w:r>
        <w:rPr>
          <w:rFonts w:hint="eastAsia" w:ascii="楷体_GB2312" w:hAnsi="Times New Roman" w:eastAsia="楷体_GB2312" w:cs="Times New Roman"/>
          <w:sz w:val="32"/>
          <w:szCs w:val="32"/>
          <w:highlight w:val="none"/>
          <w:lang w:val="en-US" w:eastAsia="zh-CN"/>
        </w:rPr>
        <w:t>（五）部门预决算差异率</w:t>
      </w:r>
      <w:bookmarkEnd w:id="26"/>
      <w:bookmarkEnd w:id="27"/>
      <w:bookmarkEnd w:id="28"/>
    </w:p>
    <w:p w14:paraId="66DA1AE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2024年区教委年初预算数为1645340</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08万元，年度决算数为18</w:t>
      </w:r>
      <w:r>
        <w:rPr>
          <w:rFonts w:hint="default" w:ascii="仿宋_GB2312" w:hAnsi="仿宋_GB2312" w:eastAsia="仿宋_GB2312" w:cs="仿宋_GB2312"/>
          <w:sz w:val="32"/>
          <w:szCs w:val="32"/>
          <w:highlight w:val="none"/>
          <w:lang w:val="en-US" w:eastAsia="zh-CN"/>
        </w:rPr>
        <w:t>11270.60</w:t>
      </w:r>
      <w:r>
        <w:rPr>
          <w:rFonts w:hint="eastAsia" w:ascii="仿宋_GB2312" w:hAnsi="仿宋_GB2312" w:eastAsia="仿宋_GB2312" w:cs="仿宋_GB2312"/>
          <w:sz w:val="32"/>
          <w:szCs w:val="32"/>
          <w:highlight w:val="none"/>
          <w:lang w:val="en-US" w:eastAsia="zh-CN"/>
        </w:rPr>
        <w:t>万元，资金预决算差异率为1</w:t>
      </w:r>
      <w:r>
        <w:rPr>
          <w:rFonts w:hint="default" w:ascii="仿宋_GB2312" w:hAnsi="仿宋_GB2312" w:eastAsia="仿宋_GB2312" w:cs="仿宋_GB2312"/>
          <w:sz w:val="32"/>
          <w:szCs w:val="32"/>
          <w:highlight w:val="none"/>
          <w:lang w:val="en-US" w:eastAsia="zh-CN"/>
        </w:rPr>
        <w:t>0.08</w:t>
      </w:r>
      <w:r>
        <w:rPr>
          <w:rFonts w:hint="eastAsia" w:ascii="仿宋_GB2312" w:hAnsi="仿宋_GB2312" w:eastAsia="仿宋_GB2312" w:cs="仿宋_GB2312"/>
          <w:sz w:val="32"/>
          <w:szCs w:val="32"/>
          <w:highlight w:val="none"/>
          <w:lang w:val="en-US" w:eastAsia="zh-CN"/>
        </w:rPr>
        <w:t>%，预决算差异率低于30%平均水平，部门预决算差异率控制情况较好。</w:t>
      </w:r>
    </w:p>
    <w:p w14:paraId="2D4B8DF6">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楷体_GB2312" w:eastAsia="楷体_GB2312"/>
          <w:sz w:val="32"/>
          <w:szCs w:val="32"/>
          <w:highlight w:val="none"/>
        </w:rPr>
      </w:pPr>
      <w:bookmarkStart w:id="29" w:name="_Toc1603639277"/>
      <w:r>
        <w:rPr>
          <w:rFonts w:hint="eastAsia" w:ascii="黑体" w:hAnsi="黑体" w:eastAsia="黑体"/>
          <w:sz w:val="32"/>
          <w:szCs w:val="32"/>
          <w:highlight w:val="none"/>
        </w:rPr>
        <w:t>五、总体自评</w:t>
      </w:r>
      <w:r>
        <w:rPr>
          <w:rFonts w:ascii="黑体" w:hAnsi="黑体" w:eastAsia="黑体"/>
          <w:sz w:val="32"/>
          <w:szCs w:val="32"/>
          <w:highlight w:val="none"/>
        </w:rPr>
        <w:t>结论</w:t>
      </w:r>
      <w:bookmarkEnd w:id="29"/>
    </w:p>
    <w:p w14:paraId="0A3C14FB">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30" w:name="_Toc18157"/>
      <w:bookmarkStart w:id="31" w:name="_Toc8139"/>
      <w:bookmarkStart w:id="32" w:name="_Toc1445558689"/>
      <w:bookmarkStart w:id="33" w:name="_Toc143793248"/>
      <w:r>
        <w:rPr>
          <w:rFonts w:hint="eastAsia" w:ascii="楷体_GB2312" w:hAnsi="Times New Roman" w:eastAsia="楷体_GB2312" w:cs="Times New Roman"/>
          <w:sz w:val="32"/>
          <w:szCs w:val="32"/>
          <w:highlight w:val="none"/>
          <w:lang w:val="en-US" w:eastAsia="zh-CN"/>
        </w:rPr>
        <w:t>（一）自评得分情况</w:t>
      </w:r>
      <w:bookmarkEnd w:id="30"/>
      <w:bookmarkEnd w:id="31"/>
      <w:bookmarkEnd w:id="32"/>
      <w:bookmarkEnd w:id="33"/>
    </w:p>
    <w:p w14:paraId="2CEC6BCC">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w:t>
      </w:r>
      <w:r>
        <w:rPr>
          <w:rFonts w:hint="default"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年区教委部门整体绩效评价得分为99分，综合评价等级为“优”，各一级指标得分情况如下表：</w:t>
      </w:r>
    </w:p>
    <w:p w14:paraId="682DFD85">
      <w:pPr>
        <w:keepNext w:val="0"/>
        <w:keepLines w:val="0"/>
        <w:pageBreakBefore w:val="0"/>
        <w:widowControl w:val="0"/>
        <w:shd w:val="clear"/>
        <w:kinsoku/>
        <w:wordWrap/>
        <w:overflowPunct/>
        <w:topLinePunct w:val="0"/>
        <w:autoSpaceDE/>
        <w:autoSpaceDN/>
        <w:bidi w:val="0"/>
        <w:spacing w:line="560" w:lineRule="exact"/>
        <w:jc w:val="center"/>
        <w:textAlignment w:val="auto"/>
        <w:rPr>
          <w:rFonts w:hint="eastAsia" w:ascii="黑体" w:hAnsi="黑体" w:eastAsia="黑体" w:cs="Times New Roman"/>
          <w:sz w:val="28"/>
          <w:szCs w:val="28"/>
          <w:highlight w:val="none"/>
        </w:rPr>
      </w:pPr>
      <w:r>
        <w:rPr>
          <w:rFonts w:hint="eastAsia" w:ascii="黑体" w:hAnsi="黑体" w:eastAsia="黑体" w:cs="Times New Roman"/>
          <w:sz w:val="28"/>
          <w:szCs w:val="28"/>
          <w:highlight w:val="none"/>
        </w:rPr>
        <w:t>表4：202</w:t>
      </w:r>
      <w:r>
        <w:rPr>
          <w:rFonts w:hint="eastAsia" w:ascii="黑体" w:hAnsi="黑体" w:eastAsia="黑体" w:cs="Times New Roman"/>
          <w:sz w:val="28"/>
          <w:szCs w:val="28"/>
          <w:highlight w:val="none"/>
          <w:lang w:val="en-US" w:eastAsia="zh-CN"/>
        </w:rPr>
        <w:t>4</w:t>
      </w:r>
      <w:r>
        <w:rPr>
          <w:rFonts w:hint="eastAsia" w:ascii="黑体" w:hAnsi="黑体" w:eastAsia="黑体" w:cs="Times New Roman"/>
          <w:sz w:val="28"/>
          <w:szCs w:val="28"/>
          <w:highlight w:val="none"/>
        </w:rPr>
        <w:t>年区教委部门整体绩效得分情况表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0"/>
        <w:gridCol w:w="1896"/>
        <w:gridCol w:w="2345"/>
        <w:gridCol w:w="2180"/>
      </w:tblGrid>
      <w:tr w14:paraId="5BF9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7" w:type="pct"/>
            <w:vAlign w:val="center"/>
          </w:tcPr>
          <w:p w14:paraId="3A1EF9CF">
            <w:pPr>
              <w:shd w:val="clear"/>
              <w:jc w:val="center"/>
              <w:rPr>
                <w:b/>
                <w:bCs/>
                <w:sz w:val="20"/>
                <w:szCs w:val="20"/>
                <w:highlight w:val="none"/>
              </w:rPr>
            </w:pPr>
            <w:r>
              <w:rPr>
                <w:b/>
                <w:bCs/>
                <w:sz w:val="20"/>
                <w:szCs w:val="20"/>
                <w:highlight w:val="none"/>
              </w:rPr>
              <w:t>一级指标</w:t>
            </w:r>
          </w:p>
        </w:tc>
        <w:tc>
          <w:tcPr>
            <w:tcW w:w="1046" w:type="pct"/>
            <w:vAlign w:val="center"/>
          </w:tcPr>
          <w:p w14:paraId="127DA6F1">
            <w:pPr>
              <w:shd w:val="clear"/>
              <w:jc w:val="center"/>
              <w:rPr>
                <w:b/>
                <w:bCs/>
                <w:sz w:val="20"/>
                <w:szCs w:val="20"/>
                <w:highlight w:val="none"/>
              </w:rPr>
            </w:pPr>
            <w:r>
              <w:rPr>
                <w:b/>
                <w:bCs/>
                <w:sz w:val="20"/>
                <w:szCs w:val="20"/>
                <w:highlight w:val="none"/>
              </w:rPr>
              <w:t>分值</w:t>
            </w:r>
          </w:p>
        </w:tc>
        <w:tc>
          <w:tcPr>
            <w:tcW w:w="1294" w:type="pct"/>
            <w:vAlign w:val="center"/>
          </w:tcPr>
          <w:p w14:paraId="2A6270DA">
            <w:pPr>
              <w:shd w:val="clear"/>
              <w:jc w:val="center"/>
              <w:rPr>
                <w:b/>
                <w:bCs/>
                <w:sz w:val="20"/>
                <w:szCs w:val="20"/>
                <w:highlight w:val="none"/>
              </w:rPr>
            </w:pPr>
            <w:r>
              <w:rPr>
                <w:b/>
                <w:bCs/>
                <w:sz w:val="20"/>
                <w:szCs w:val="20"/>
                <w:highlight w:val="none"/>
              </w:rPr>
              <w:t>得分</w:t>
            </w:r>
          </w:p>
        </w:tc>
        <w:tc>
          <w:tcPr>
            <w:tcW w:w="1203" w:type="pct"/>
            <w:vAlign w:val="center"/>
          </w:tcPr>
          <w:p w14:paraId="752C3C74">
            <w:pPr>
              <w:shd w:val="clear"/>
              <w:jc w:val="center"/>
              <w:rPr>
                <w:b/>
                <w:bCs/>
                <w:sz w:val="20"/>
                <w:szCs w:val="20"/>
                <w:highlight w:val="none"/>
              </w:rPr>
            </w:pPr>
            <w:r>
              <w:rPr>
                <w:b/>
                <w:bCs/>
                <w:sz w:val="20"/>
                <w:szCs w:val="20"/>
                <w:highlight w:val="none"/>
              </w:rPr>
              <w:t>得分率</w:t>
            </w:r>
          </w:p>
        </w:tc>
      </w:tr>
      <w:tr w14:paraId="39AE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7" w:type="pct"/>
            <w:vAlign w:val="center"/>
          </w:tcPr>
          <w:p w14:paraId="2D6C43B1">
            <w:pPr>
              <w:shd w:val="clear"/>
              <w:jc w:val="center"/>
              <w:rPr>
                <w:sz w:val="20"/>
                <w:szCs w:val="20"/>
                <w:highlight w:val="none"/>
              </w:rPr>
            </w:pPr>
            <w:r>
              <w:rPr>
                <w:sz w:val="20"/>
                <w:szCs w:val="20"/>
                <w:highlight w:val="none"/>
              </w:rPr>
              <w:t>当年预算执行情况</w:t>
            </w:r>
          </w:p>
        </w:tc>
        <w:tc>
          <w:tcPr>
            <w:tcW w:w="1046" w:type="pct"/>
            <w:vAlign w:val="center"/>
          </w:tcPr>
          <w:p w14:paraId="27CE9E1D">
            <w:pPr>
              <w:shd w:val="clear"/>
              <w:jc w:val="center"/>
              <w:rPr>
                <w:sz w:val="20"/>
                <w:szCs w:val="20"/>
                <w:highlight w:val="none"/>
              </w:rPr>
            </w:pPr>
            <w:r>
              <w:rPr>
                <w:sz w:val="20"/>
                <w:szCs w:val="20"/>
                <w:highlight w:val="none"/>
              </w:rPr>
              <w:t>20</w:t>
            </w:r>
          </w:p>
        </w:tc>
        <w:tc>
          <w:tcPr>
            <w:tcW w:w="1294" w:type="pct"/>
            <w:vAlign w:val="center"/>
          </w:tcPr>
          <w:p w14:paraId="6C42095E">
            <w:pPr>
              <w:shd w:val="clear"/>
              <w:jc w:val="center"/>
              <w:rPr>
                <w:rFonts w:hint="default"/>
                <w:sz w:val="20"/>
                <w:szCs w:val="20"/>
                <w:highlight w:val="none"/>
                <w:lang w:val="en-US"/>
              </w:rPr>
            </w:pPr>
            <w:r>
              <w:rPr>
                <w:rFonts w:hint="default"/>
                <w:sz w:val="20"/>
                <w:szCs w:val="20"/>
                <w:highlight w:val="none"/>
                <w:lang w:val="en-US"/>
              </w:rPr>
              <w:t>20</w:t>
            </w:r>
          </w:p>
        </w:tc>
        <w:tc>
          <w:tcPr>
            <w:tcW w:w="1203" w:type="pct"/>
            <w:vAlign w:val="center"/>
          </w:tcPr>
          <w:p w14:paraId="3E7F3A53">
            <w:pPr>
              <w:shd w:val="clear"/>
              <w:jc w:val="center"/>
              <w:rPr>
                <w:sz w:val="20"/>
                <w:szCs w:val="20"/>
                <w:highlight w:val="none"/>
              </w:rPr>
            </w:pPr>
            <w:r>
              <w:rPr>
                <w:rFonts w:hint="default"/>
                <w:color w:val="000000"/>
                <w:sz w:val="20"/>
                <w:szCs w:val="20"/>
                <w:highlight w:val="none"/>
                <w:lang w:val="en-US"/>
              </w:rPr>
              <w:t>100</w:t>
            </w:r>
            <w:r>
              <w:rPr>
                <w:color w:val="000000"/>
                <w:sz w:val="20"/>
                <w:szCs w:val="20"/>
                <w:highlight w:val="none"/>
              </w:rPr>
              <w:t>%</w:t>
            </w:r>
          </w:p>
        </w:tc>
      </w:tr>
      <w:tr w14:paraId="2BE4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7" w:type="pct"/>
            <w:vAlign w:val="center"/>
          </w:tcPr>
          <w:p w14:paraId="1DF43B13">
            <w:pPr>
              <w:shd w:val="clear"/>
              <w:jc w:val="center"/>
              <w:rPr>
                <w:sz w:val="20"/>
                <w:szCs w:val="20"/>
                <w:highlight w:val="none"/>
              </w:rPr>
            </w:pPr>
            <w:r>
              <w:rPr>
                <w:sz w:val="20"/>
                <w:szCs w:val="20"/>
                <w:highlight w:val="none"/>
              </w:rPr>
              <w:t>整体绩效目标实现情况</w:t>
            </w:r>
          </w:p>
        </w:tc>
        <w:tc>
          <w:tcPr>
            <w:tcW w:w="1046" w:type="pct"/>
            <w:vAlign w:val="center"/>
          </w:tcPr>
          <w:p w14:paraId="0D276E6C">
            <w:pPr>
              <w:shd w:val="clear"/>
              <w:jc w:val="center"/>
              <w:rPr>
                <w:sz w:val="20"/>
                <w:szCs w:val="20"/>
                <w:highlight w:val="none"/>
              </w:rPr>
            </w:pPr>
            <w:r>
              <w:rPr>
                <w:sz w:val="20"/>
                <w:szCs w:val="20"/>
                <w:highlight w:val="none"/>
              </w:rPr>
              <w:t>60</w:t>
            </w:r>
          </w:p>
        </w:tc>
        <w:tc>
          <w:tcPr>
            <w:tcW w:w="1294" w:type="pct"/>
            <w:vAlign w:val="center"/>
          </w:tcPr>
          <w:p w14:paraId="28F16507">
            <w:pPr>
              <w:shd w:val="clear"/>
              <w:jc w:val="center"/>
              <w:rPr>
                <w:sz w:val="20"/>
                <w:szCs w:val="20"/>
                <w:highlight w:val="none"/>
              </w:rPr>
            </w:pPr>
            <w:r>
              <w:rPr>
                <w:sz w:val="20"/>
                <w:szCs w:val="20"/>
                <w:highlight w:val="none"/>
              </w:rPr>
              <w:t>5</w:t>
            </w:r>
            <w:r>
              <w:rPr>
                <w:rFonts w:hint="eastAsia"/>
                <w:sz w:val="20"/>
                <w:szCs w:val="20"/>
                <w:highlight w:val="none"/>
              </w:rPr>
              <w:t>9</w:t>
            </w:r>
          </w:p>
        </w:tc>
        <w:tc>
          <w:tcPr>
            <w:tcW w:w="1203" w:type="pct"/>
            <w:vAlign w:val="center"/>
          </w:tcPr>
          <w:p w14:paraId="54855E47">
            <w:pPr>
              <w:shd w:val="clear"/>
              <w:jc w:val="center"/>
              <w:rPr>
                <w:sz w:val="20"/>
                <w:szCs w:val="20"/>
                <w:highlight w:val="none"/>
              </w:rPr>
            </w:pPr>
            <w:r>
              <w:rPr>
                <w:color w:val="000000"/>
                <w:sz w:val="20"/>
                <w:szCs w:val="20"/>
                <w:highlight w:val="none"/>
              </w:rPr>
              <w:t>9</w:t>
            </w:r>
            <w:r>
              <w:rPr>
                <w:rFonts w:hint="eastAsia"/>
                <w:color w:val="000000"/>
                <w:sz w:val="20"/>
                <w:szCs w:val="20"/>
                <w:highlight w:val="none"/>
              </w:rPr>
              <w:t>8</w:t>
            </w:r>
            <w:r>
              <w:rPr>
                <w:color w:val="000000"/>
                <w:sz w:val="20"/>
                <w:szCs w:val="20"/>
                <w:highlight w:val="none"/>
              </w:rPr>
              <w:t>%</w:t>
            </w:r>
          </w:p>
        </w:tc>
      </w:tr>
      <w:tr w14:paraId="0BBD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7" w:type="pct"/>
            <w:vAlign w:val="center"/>
          </w:tcPr>
          <w:p w14:paraId="13AFB603">
            <w:pPr>
              <w:shd w:val="clear"/>
              <w:jc w:val="center"/>
              <w:rPr>
                <w:sz w:val="20"/>
                <w:szCs w:val="20"/>
                <w:highlight w:val="none"/>
              </w:rPr>
            </w:pPr>
            <w:r>
              <w:rPr>
                <w:sz w:val="20"/>
                <w:szCs w:val="20"/>
                <w:highlight w:val="none"/>
              </w:rPr>
              <w:t>预算管理情况</w:t>
            </w:r>
          </w:p>
        </w:tc>
        <w:tc>
          <w:tcPr>
            <w:tcW w:w="1046" w:type="pct"/>
            <w:vAlign w:val="center"/>
          </w:tcPr>
          <w:p w14:paraId="0773C7C4">
            <w:pPr>
              <w:shd w:val="clear"/>
              <w:jc w:val="center"/>
              <w:rPr>
                <w:sz w:val="20"/>
                <w:szCs w:val="20"/>
                <w:highlight w:val="none"/>
              </w:rPr>
            </w:pPr>
            <w:r>
              <w:rPr>
                <w:sz w:val="20"/>
                <w:szCs w:val="20"/>
                <w:highlight w:val="none"/>
              </w:rPr>
              <w:t>20</w:t>
            </w:r>
          </w:p>
        </w:tc>
        <w:tc>
          <w:tcPr>
            <w:tcW w:w="1294" w:type="pct"/>
            <w:vAlign w:val="center"/>
          </w:tcPr>
          <w:p w14:paraId="59DA58A6">
            <w:pPr>
              <w:shd w:val="clear"/>
              <w:jc w:val="center"/>
              <w:rPr>
                <w:rFonts w:hint="default"/>
                <w:sz w:val="20"/>
                <w:szCs w:val="20"/>
                <w:highlight w:val="none"/>
                <w:lang w:val="en-US"/>
              </w:rPr>
            </w:pPr>
            <w:r>
              <w:rPr>
                <w:rFonts w:hint="default"/>
                <w:sz w:val="20"/>
                <w:szCs w:val="20"/>
                <w:highlight w:val="none"/>
                <w:lang w:val="en-US"/>
              </w:rPr>
              <w:t>20</w:t>
            </w:r>
          </w:p>
        </w:tc>
        <w:tc>
          <w:tcPr>
            <w:tcW w:w="1203" w:type="pct"/>
            <w:vAlign w:val="center"/>
          </w:tcPr>
          <w:p w14:paraId="5A9499FD">
            <w:pPr>
              <w:shd w:val="clear"/>
              <w:jc w:val="center"/>
              <w:rPr>
                <w:sz w:val="20"/>
                <w:szCs w:val="20"/>
                <w:highlight w:val="none"/>
              </w:rPr>
            </w:pPr>
            <w:r>
              <w:rPr>
                <w:rFonts w:hint="default"/>
                <w:color w:val="000000"/>
                <w:sz w:val="20"/>
                <w:szCs w:val="20"/>
                <w:highlight w:val="none"/>
                <w:lang w:val="en-US"/>
              </w:rPr>
              <w:t>100</w:t>
            </w:r>
            <w:r>
              <w:rPr>
                <w:color w:val="000000"/>
                <w:sz w:val="20"/>
                <w:szCs w:val="20"/>
                <w:highlight w:val="none"/>
              </w:rPr>
              <w:t>%</w:t>
            </w:r>
          </w:p>
        </w:tc>
      </w:tr>
      <w:tr w14:paraId="3F25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57" w:type="pct"/>
            <w:vAlign w:val="center"/>
          </w:tcPr>
          <w:p w14:paraId="008870CC">
            <w:pPr>
              <w:shd w:val="clear"/>
              <w:jc w:val="center"/>
              <w:rPr>
                <w:b/>
                <w:bCs/>
                <w:sz w:val="20"/>
                <w:szCs w:val="20"/>
                <w:highlight w:val="none"/>
              </w:rPr>
            </w:pPr>
            <w:r>
              <w:rPr>
                <w:b/>
                <w:bCs/>
                <w:sz w:val="20"/>
                <w:szCs w:val="20"/>
                <w:highlight w:val="none"/>
              </w:rPr>
              <w:t>合计</w:t>
            </w:r>
          </w:p>
        </w:tc>
        <w:tc>
          <w:tcPr>
            <w:tcW w:w="1046" w:type="pct"/>
            <w:vAlign w:val="center"/>
          </w:tcPr>
          <w:p w14:paraId="347106C4">
            <w:pPr>
              <w:shd w:val="clear"/>
              <w:jc w:val="center"/>
              <w:rPr>
                <w:sz w:val="20"/>
                <w:szCs w:val="20"/>
                <w:highlight w:val="none"/>
              </w:rPr>
            </w:pPr>
            <w:r>
              <w:rPr>
                <w:sz w:val="20"/>
                <w:szCs w:val="20"/>
                <w:highlight w:val="none"/>
              </w:rPr>
              <w:t>100</w:t>
            </w:r>
          </w:p>
        </w:tc>
        <w:tc>
          <w:tcPr>
            <w:tcW w:w="1294" w:type="pct"/>
            <w:vAlign w:val="center"/>
          </w:tcPr>
          <w:p w14:paraId="42EC6219">
            <w:pPr>
              <w:shd w:val="clear"/>
              <w:jc w:val="center"/>
              <w:rPr>
                <w:sz w:val="20"/>
                <w:szCs w:val="20"/>
                <w:highlight w:val="none"/>
              </w:rPr>
            </w:pPr>
            <w:r>
              <w:rPr>
                <w:rFonts w:hint="eastAsia"/>
                <w:sz w:val="20"/>
                <w:szCs w:val="20"/>
                <w:highlight w:val="none"/>
              </w:rPr>
              <w:t>99</w:t>
            </w:r>
          </w:p>
        </w:tc>
        <w:tc>
          <w:tcPr>
            <w:tcW w:w="1203" w:type="pct"/>
            <w:vAlign w:val="center"/>
          </w:tcPr>
          <w:p w14:paraId="517B7734">
            <w:pPr>
              <w:shd w:val="clear"/>
              <w:jc w:val="center"/>
              <w:rPr>
                <w:sz w:val="20"/>
                <w:szCs w:val="20"/>
                <w:highlight w:val="none"/>
              </w:rPr>
            </w:pPr>
            <w:r>
              <w:rPr>
                <w:color w:val="000000"/>
                <w:sz w:val="20"/>
                <w:szCs w:val="20"/>
                <w:highlight w:val="none"/>
              </w:rPr>
              <w:t>9</w:t>
            </w:r>
            <w:r>
              <w:rPr>
                <w:rFonts w:hint="eastAsia"/>
                <w:color w:val="000000"/>
                <w:sz w:val="20"/>
                <w:szCs w:val="20"/>
                <w:highlight w:val="none"/>
              </w:rPr>
              <w:t>9</w:t>
            </w:r>
            <w:r>
              <w:rPr>
                <w:color w:val="000000"/>
                <w:sz w:val="20"/>
                <w:szCs w:val="20"/>
                <w:highlight w:val="none"/>
              </w:rPr>
              <w:t>%</w:t>
            </w:r>
          </w:p>
        </w:tc>
      </w:tr>
    </w:tbl>
    <w:p w14:paraId="7644B4B5">
      <w:pPr>
        <w:shd w:val="clear"/>
        <w:rPr>
          <w:highlight w:val="none"/>
        </w:rPr>
      </w:pPr>
      <w:bookmarkStart w:id="34" w:name="_Toc24355"/>
      <w:bookmarkStart w:id="35" w:name="_Toc16175"/>
    </w:p>
    <w:p w14:paraId="2D093551">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hAnsi="Times New Roman" w:eastAsia="楷体_GB2312" w:cs="Times New Roman"/>
          <w:sz w:val="32"/>
          <w:szCs w:val="32"/>
          <w:highlight w:val="none"/>
          <w:lang w:val="en-US" w:eastAsia="zh-CN"/>
        </w:rPr>
      </w:pPr>
      <w:bookmarkStart w:id="36" w:name="_Toc143793249"/>
      <w:bookmarkStart w:id="37" w:name="_Toc1022387512"/>
      <w:r>
        <w:rPr>
          <w:rFonts w:hint="eastAsia" w:ascii="楷体_GB2312" w:hAnsi="Times New Roman" w:eastAsia="楷体_GB2312" w:cs="Times New Roman"/>
          <w:sz w:val="32"/>
          <w:szCs w:val="32"/>
          <w:highlight w:val="none"/>
          <w:lang w:val="en-US" w:eastAsia="zh-CN"/>
        </w:rPr>
        <w:t>（二）存在的问题及原因分析</w:t>
      </w:r>
      <w:bookmarkEnd w:id="34"/>
      <w:bookmarkEnd w:id="35"/>
      <w:bookmarkEnd w:id="36"/>
      <w:bookmarkEnd w:id="37"/>
    </w:p>
    <w:p w14:paraId="75B21E48">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bookmarkStart w:id="38" w:name="_Toc16033"/>
      <w:r>
        <w:rPr>
          <w:rFonts w:hint="eastAsia" w:ascii="仿宋_GB2312" w:hAnsi="仿宋_GB2312" w:eastAsia="仿宋_GB2312" w:cs="仿宋_GB2312"/>
          <w:sz w:val="32"/>
          <w:szCs w:val="32"/>
          <w:highlight w:val="none"/>
          <w:lang w:val="en-US" w:eastAsia="zh-CN"/>
        </w:rPr>
        <w:t>部分项目绩效信息收集有待进一步加强，项目实施绩效展现不够充分。如项目效益指标的实现情况缺乏材料支撑，部分项目在实施完毕后未能及时开展绩效数据收集及满意度调查工作，相关绩效数据及支撑材料收集不够充分，一定程度上影响了对效益实现情况的评价。</w:t>
      </w:r>
    </w:p>
    <w:bookmarkEnd w:id="38"/>
    <w:p w14:paraId="3611A00B">
      <w:pPr>
        <w:pStyle w:val="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rPr>
          <w:rFonts w:hint="eastAsia" w:cs="宋体"/>
          <w:sz w:val="32"/>
          <w:szCs w:val="32"/>
          <w:highlight w:val="none"/>
        </w:rPr>
      </w:pPr>
      <w:bookmarkStart w:id="39" w:name="_Toc23760"/>
      <w:bookmarkStart w:id="40" w:name="_Toc143793250"/>
      <w:bookmarkStart w:id="41" w:name="_Toc1250254537"/>
      <w:bookmarkStart w:id="42" w:name="_Toc27509"/>
      <w:r>
        <w:rPr>
          <w:rFonts w:hint="eastAsia" w:cs="宋体"/>
          <w:sz w:val="32"/>
          <w:szCs w:val="32"/>
          <w:highlight w:val="none"/>
        </w:rPr>
        <w:t>六、措施建议</w:t>
      </w:r>
      <w:bookmarkEnd w:id="39"/>
      <w:bookmarkEnd w:id="40"/>
      <w:bookmarkEnd w:id="41"/>
      <w:bookmarkEnd w:id="42"/>
    </w:p>
    <w:p w14:paraId="635FC9DF">
      <w:pPr>
        <w:pStyle w:val="4"/>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bookmarkStart w:id="43" w:name="_Toc7720"/>
      <w:bookmarkStart w:id="44" w:name="_Toc20533"/>
      <w:r>
        <w:rPr>
          <w:rFonts w:hint="eastAsia" w:ascii="仿宋_GB2312" w:hAnsi="仿宋_GB2312" w:eastAsia="仿宋_GB2312" w:cs="仿宋_GB2312"/>
          <w:sz w:val="32"/>
          <w:szCs w:val="32"/>
          <w:highlight w:val="none"/>
          <w:lang w:val="en-US" w:eastAsia="zh-CN"/>
        </w:rPr>
        <w:t>加强绩效成果资料的归集，进一步加强绩效数据收集分析。针对实施周期较长的项目可探索建立绩效信息的跟踪机制，加强对绩效成果的跟踪及统计分析，为后续工作改进以及绩效评价提供绩效数据及支撑材料。</w:t>
      </w:r>
      <w:bookmarkEnd w:id="43"/>
      <w:bookmarkEnd w:id="44"/>
    </w:p>
    <w:p w14:paraId="010868AD">
      <w:pPr>
        <w:pStyle w:val="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bookmarkStart w:id="45" w:name="_Toc2048001111"/>
      <w:r>
        <w:rPr>
          <w:rFonts w:hint="eastAsia"/>
          <w:sz w:val="32"/>
          <w:szCs w:val="32"/>
          <w:highlight w:val="none"/>
        </w:rPr>
        <w:t>七、附件</w:t>
      </w:r>
      <w:bookmarkEnd w:id="45"/>
    </w:p>
    <w:p w14:paraId="5190C9AB">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sectPr>
          <w:footerReference r:id="rId3" w:type="default"/>
          <w:pgSz w:w="11906" w:h="16838"/>
          <w:pgMar w:top="2098" w:right="1474" w:bottom="1984" w:left="1587" w:header="851" w:footer="964" w:gutter="0"/>
          <w:pgNumType w:fmt="numberInDash" w:start="1"/>
          <w:cols w:space="720" w:num="1"/>
          <w:docGrid w:type="lines" w:linePitch="435" w:charSpace="0"/>
        </w:sect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年部门整体绩效评价指标体系评分</w:t>
      </w:r>
      <w:r>
        <w:rPr>
          <w:rFonts w:hint="eastAsia" w:ascii="仿宋_GB2312" w:hAnsi="仿宋_GB2312" w:eastAsia="仿宋_GB2312" w:cs="仿宋_GB2312"/>
          <w:sz w:val="32"/>
          <w:szCs w:val="32"/>
          <w:highlight w:val="none"/>
          <w:lang w:eastAsia="zh-CN"/>
        </w:rPr>
        <w:t>表</w:t>
      </w:r>
    </w:p>
    <w:p w14:paraId="5F5F2ED1">
      <w:pPr>
        <w:shd w:val="clear"/>
        <w:spacing w:line="560" w:lineRule="exact"/>
        <w:jc w:val="left"/>
        <w:outlineLvl w:val="0"/>
        <w:rPr>
          <w:rFonts w:hint="default" w:ascii="方正黑体_GBK" w:hAnsi="方正黑体_GBK" w:eastAsia="方正黑体_GBK" w:cs="方正黑体_GBK"/>
          <w:sz w:val="32"/>
          <w:highlight w:val="none"/>
          <w:lang w:val="en-US" w:eastAsia="zh-CN"/>
        </w:rPr>
      </w:pPr>
      <w:bookmarkStart w:id="46" w:name="_Toc886778461"/>
      <w:r>
        <w:rPr>
          <w:rFonts w:hint="eastAsia" w:ascii="方正黑体_GBK" w:hAnsi="方正黑体_GBK" w:eastAsia="方正黑体_GBK" w:cs="方正黑体_GBK"/>
          <w:sz w:val="32"/>
          <w:highlight w:val="none"/>
          <w:lang w:eastAsia="zh-CN"/>
        </w:rPr>
        <w:t>附件</w:t>
      </w:r>
      <w:bookmarkEnd w:id="46"/>
    </w:p>
    <w:tbl>
      <w:tblPr>
        <w:tblStyle w:val="7"/>
        <w:tblW w:w="4995" w:type="pct"/>
        <w:tblInd w:w="0" w:type="dxa"/>
        <w:shd w:val="clear" w:color="auto" w:fill="auto"/>
        <w:tblLayout w:type="autofit"/>
        <w:tblCellMar>
          <w:top w:w="0" w:type="dxa"/>
          <w:left w:w="108" w:type="dxa"/>
          <w:bottom w:w="0" w:type="dxa"/>
          <w:right w:w="108" w:type="dxa"/>
        </w:tblCellMar>
      </w:tblPr>
      <w:tblGrid>
        <w:gridCol w:w="927"/>
        <w:gridCol w:w="950"/>
        <w:gridCol w:w="1401"/>
        <w:gridCol w:w="1216"/>
        <w:gridCol w:w="1111"/>
        <w:gridCol w:w="616"/>
        <w:gridCol w:w="616"/>
        <w:gridCol w:w="2707"/>
        <w:gridCol w:w="3415"/>
      </w:tblGrid>
      <w:tr w14:paraId="5D0E14D3">
        <w:tblPrEx>
          <w:shd w:val="clear" w:color="auto" w:fill="auto"/>
          <w:tblCellMar>
            <w:top w:w="0" w:type="dxa"/>
            <w:left w:w="108" w:type="dxa"/>
            <w:bottom w:w="0" w:type="dxa"/>
            <w:right w:w="108" w:type="dxa"/>
          </w:tblCellMar>
        </w:tblPrEx>
        <w:trPr>
          <w:cantSplit/>
          <w:trHeight w:val="178" w:hRule="atLeast"/>
        </w:trPr>
        <w:tc>
          <w:tcPr>
            <w:tcW w:w="5000" w:type="pct"/>
            <w:gridSpan w:val="9"/>
            <w:tcBorders>
              <w:top w:val="nil"/>
              <w:left w:val="nil"/>
              <w:bottom w:val="single" w:color="auto" w:sz="4" w:space="0"/>
              <w:right w:val="nil"/>
            </w:tcBorders>
            <w:shd w:val="clear" w:color="auto" w:fill="auto"/>
            <w:noWrap/>
            <w:vAlign w:val="bottom"/>
          </w:tcPr>
          <w:p w14:paraId="41538794">
            <w:pPr>
              <w:keepNext w:val="0"/>
              <w:keepLines w:val="0"/>
              <w:pageBreakBefore w:val="0"/>
              <w:widowControl/>
              <w:shd w:val="clear"/>
              <w:kinsoku/>
              <w:wordWrap/>
              <w:overflowPunct/>
              <w:topLinePunct w:val="0"/>
              <w:autoSpaceDE/>
              <w:autoSpaceDN/>
              <w:bidi w:val="0"/>
              <w:adjustRightInd w:val="0"/>
              <w:snapToGrid w:val="0"/>
              <w:jc w:val="center"/>
              <w:rPr>
                <w:rFonts w:hint="eastAsia" w:ascii="方正小标宋简体" w:hAnsi="黑体" w:eastAsia="方正小标宋简体" w:cs="宋体"/>
                <w:color w:val="000000"/>
                <w:kern w:val="0"/>
                <w:sz w:val="44"/>
                <w:szCs w:val="44"/>
                <w:highlight w:val="none"/>
                <w:lang w:eastAsia="zh-CN"/>
              </w:rPr>
            </w:pPr>
            <w:r>
              <w:rPr>
                <w:rFonts w:hint="eastAsia" w:ascii="方正小标宋简体" w:hAnsi="黑体" w:eastAsia="方正小标宋简体" w:cs="宋体"/>
                <w:color w:val="000000"/>
                <w:kern w:val="0"/>
                <w:sz w:val="44"/>
                <w:szCs w:val="44"/>
                <w:highlight w:val="none"/>
              </w:rPr>
              <w:t>202</w:t>
            </w:r>
            <w:r>
              <w:rPr>
                <w:rFonts w:hint="eastAsia" w:ascii="方正小标宋简体" w:hAnsi="黑体" w:eastAsia="方正小标宋简体" w:cs="宋体"/>
                <w:color w:val="000000"/>
                <w:kern w:val="0"/>
                <w:sz w:val="44"/>
                <w:szCs w:val="44"/>
                <w:highlight w:val="none"/>
                <w:lang w:val="en-US" w:eastAsia="zh-CN"/>
              </w:rPr>
              <w:t>4</w:t>
            </w:r>
            <w:r>
              <w:rPr>
                <w:rFonts w:hint="eastAsia" w:ascii="方正小标宋简体" w:hAnsi="黑体" w:eastAsia="方正小标宋简体" w:cs="宋体"/>
                <w:color w:val="000000"/>
                <w:kern w:val="0"/>
                <w:sz w:val="44"/>
                <w:szCs w:val="44"/>
                <w:highlight w:val="none"/>
              </w:rPr>
              <w:t>年部门整体绩效评价指标体系评分表</w:t>
            </w:r>
          </w:p>
        </w:tc>
      </w:tr>
      <w:tr w14:paraId="200E9931">
        <w:tblPrEx>
          <w:tblCellMar>
            <w:top w:w="0" w:type="dxa"/>
            <w:left w:w="108" w:type="dxa"/>
            <w:bottom w:w="0" w:type="dxa"/>
            <w:right w:w="108" w:type="dxa"/>
          </w:tblCellMar>
        </w:tblPrEx>
        <w:trPr>
          <w:cantSplit/>
          <w:trHeight w:val="129" w:hRule="atLeast"/>
        </w:trPr>
        <w:tc>
          <w:tcPr>
            <w:tcW w:w="5000" w:type="pct"/>
            <w:gridSpan w:val="9"/>
            <w:tcBorders>
              <w:top w:val="single" w:color="auto" w:sz="4" w:space="0"/>
              <w:left w:val="single" w:color="auto" w:sz="4" w:space="0"/>
              <w:bottom w:val="single" w:color="000000" w:sz="4" w:space="0"/>
              <w:right w:val="single" w:color="auto" w:sz="4" w:space="0"/>
            </w:tcBorders>
            <w:shd w:val="clear" w:color="auto" w:fill="auto"/>
            <w:noWrap w:val="0"/>
            <w:vAlign w:val="center"/>
          </w:tcPr>
          <w:p w14:paraId="1C4CBE59">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一、</w:t>
            </w:r>
            <w:r>
              <w:rPr>
                <w:rFonts w:hint="eastAsia" w:ascii="宋体" w:hAnsi="宋体" w:cs="宋体"/>
                <w:color w:val="000000"/>
                <w:kern w:val="0"/>
                <w:sz w:val="20"/>
                <w:szCs w:val="20"/>
                <w:highlight w:val="none"/>
              </w:rPr>
              <w:t>当年预算执行情况（20分）</w:t>
            </w:r>
          </w:p>
        </w:tc>
      </w:tr>
      <w:tr w14:paraId="6AE98A9A">
        <w:tblPrEx>
          <w:shd w:val="clear" w:color="auto" w:fill="auto"/>
          <w:tblCellMar>
            <w:top w:w="0" w:type="dxa"/>
            <w:left w:w="108" w:type="dxa"/>
            <w:bottom w:w="0" w:type="dxa"/>
            <w:right w:w="108" w:type="dxa"/>
          </w:tblCellMar>
        </w:tblPrEx>
        <w:trPr>
          <w:cantSplit/>
          <w:trHeight w:val="179" w:hRule="atLeast"/>
        </w:trPr>
        <w:tc>
          <w:tcPr>
            <w:tcW w:w="35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37FC049">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36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4CACDBF">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929EE4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预算数</w:t>
            </w:r>
          </w:p>
          <w:p w14:paraId="7857171C">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（万元）</w:t>
            </w:r>
          </w:p>
        </w:tc>
        <w:tc>
          <w:tcPr>
            <w:tcW w:w="46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33263A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执行数</w:t>
            </w:r>
          </w:p>
          <w:p w14:paraId="1177CF0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（万元）</w:t>
            </w:r>
          </w:p>
        </w:tc>
        <w:tc>
          <w:tcPr>
            <w:tcW w:w="42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2C08EA1">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预算执行率</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D1C7D24">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F896ED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E7C914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指标解释</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5923255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评分标准</w:t>
            </w:r>
          </w:p>
        </w:tc>
      </w:tr>
      <w:tr w14:paraId="1A768B30">
        <w:tblPrEx>
          <w:shd w:val="clear" w:color="auto" w:fill="auto"/>
          <w:tblCellMar>
            <w:top w:w="0" w:type="dxa"/>
            <w:left w:w="108" w:type="dxa"/>
            <w:bottom w:w="0" w:type="dxa"/>
            <w:right w:w="108" w:type="dxa"/>
          </w:tblCellMar>
        </w:tblPrEx>
        <w:trPr>
          <w:cantSplit/>
          <w:trHeight w:val="208" w:hRule="atLeast"/>
        </w:trPr>
        <w:tc>
          <w:tcPr>
            <w:tcW w:w="358" w:type="pct"/>
            <w:vMerge w:val="restart"/>
            <w:tcBorders>
              <w:top w:val="nil"/>
              <w:left w:val="single" w:color="auto" w:sz="4" w:space="0"/>
              <w:bottom w:val="single" w:color="000000" w:sz="4" w:space="0"/>
              <w:right w:val="single" w:color="auto" w:sz="4" w:space="0"/>
            </w:tcBorders>
            <w:shd w:val="clear" w:color="auto" w:fill="auto"/>
            <w:noWrap w:val="0"/>
            <w:vAlign w:val="center"/>
          </w:tcPr>
          <w:p w14:paraId="5AA44DF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当年预算执行情况（20）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D8AC84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资金总体</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20AC22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18</w:t>
            </w:r>
            <w:r>
              <w:rPr>
                <w:rFonts w:hint="default" w:ascii="宋体" w:hAnsi="宋体" w:eastAsia="宋体" w:cs="宋体"/>
                <w:color w:val="000000"/>
                <w:kern w:val="0"/>
                <w:sz w:val="20"/>
                <w:szCs w:val="20"/>
                <w:highlight w:val="none"/>
                <w:lang w:val="en-US" w:eastAsia="zh-CN"/>
              </w:rPr>
              <w:t>11270.60</w:t>
            </w:r>
            <w:r>
              <w:rPr>
                <w:rFonts w:hint="eastAsia" w:ascii="宋体" w:hAnsi="宋体" w:eastAsia="宋体" w:cs="宋体"/>
                <w:color w:val="000000"/>
                <w:kern w:val="0"/>
                <w:sz w:val="20"/>
                <w:szCs w:val="20"/>
                <w:highlight w:val="none"/>
                <w:lang w:val="en-US" w:eastAsia="zh-CN"/>
              </w:rPr>
              <w:t>　</w:t>
            </w:r>
          </w:p>
        </w:tc>
        <w:tc>
          <w:tcPr>
            <w:tcW w:w="46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4D2AD45">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18</w:t>
            </w:r>
            <w:r>
              <w:rPr>
                <w:rFonts w:hint="default" w:ascii="宋体" w:hAnsi="宋体" w:eastAsia="宋体" w:cs="宋体"/>
                <w:color w:val="000000"/>
                <w:kern w:val="0"/>
                <w:sz w:val="20"/>
                <w:szCs w:val="20"/>
                <w:highlight w:val="none"/>
                <w:lang w:val="en-US" w:eastAsia="zh-CN"/>
              </w:rPr>
              <w:t>11270.60</w:t>
            </w:r>
          </w:p>
        </w:tc>
        <w:tc>
          <w:tcPr>
            <w:tcW w:w="42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195779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100%</w:t>
            </w:r>
            <w:r>
              <w:rPr>
                <w:rFonts w:hint="eastAsia" w:ascii="宋体" w:hAnsi="宋体" w:cs="宋体"/>
                <w:color w:val="000000"/>
                <w:kern w:val="0"/>
                <w:sz w:val="20"/>
                <w:szCs w:val="20"/>
                <w:highlight w:val="none"/>
              </w:rPr>
              <w:t>　</w:t>
            </w:r>
          </w:p>
        </w:tc>
        <w:tc>
          <w:tcPr>
            <w:tcW w:w="237"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F59AC4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20</w:t>
            </w:r>
          </w:p>
        </w:tc>
        <w:tc>
          <w:tcPr>
            <w:tcW w:w="237"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29EBB7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20</w:t>
            </w:r>
            <w:r>
              <w:rPr>
                <w:rFonts w:hint="eastAsia" w:ascii="宋体" w:hAnsi="宋体" w:cs="宋体"/>
                <w:color w:val="000000"/>
                <w:kern w:val="0"/>
                <w:sz w:val="20"/>
                <w:szCs w:val="20"/>
                <w:highlight w:val="none"/>
              </w:rPr>
              <w:t>　</w:t>
            </w:r>
          </w:p>
        </w:tc>
        <w:tc>
          <w:tcPr>
            <w:tcW w:w="1045"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FBD2D79">
            <w:pPr>
              <w:keepNext w:val="0"/>
              <w:keepLines w:val="0"/>
              <w:pageBreakBefore w:val="0"/>
              <w:widowControl/>
              <w:shd w:val="clear"/>
              <w:kinsoku/>
              <w:wordWrap/>
              <w:overflowPunct/>
              <w:topLinePunct w:val="0"/>
              <w:autoSpaceDE/>
              <w:autoSpaceDN/>
              <w:bidi w:val="0"/>
              <w:adjustRightInd w:val="0"/>
              <w:snapToGrid w:val="0"/>
              <w:jc w:val="left"/>
              <w:rPr>
                <w:rFonts w:hint="eastAsia"/>
                <w:highlight w:val="none"/>
              </w:rPr>
            </w:pPr>
            <w:r>
              <w:rPr>
                <w:rFonts w:hint="eastAsia" w:ascii="宋体" w:hAnsi="宋体" w:cs="宋体"/>
                <w:color w:val="000000"/>
                <w:kern w:val="0"/>
                <w:sz w:val="18"/>
                <w:szCs w:val="18"/>
                <w:highlight w:val="none"/>
              </w:rPr>
              <w:t>部门全年执行数与全年预算数的比率。资金总体=基本支出+项目支出+其他</w:t>
            </w:r>
          </w:p>
        </w:tc>
        <w:tc>
          <w:tcPr>
            <w:tcW w:w="1317" w:type="pct"/>
            <w:vMerge w:val="restart"/>
            <w:tcBorders>
              <w:top w:val="nil"/>
              <w:left w:val="single" w:color="auto" w:sz="4" w:space="0"/>
              <w:bottom w:val="single" w:color="auto" w:sz="4" w:space="0"/>
              <w:right w:val="single" w:color="auto" w:sz="4" w:space="0"/>
            </w:tcBorders>
            <w:shd w:val="clear" w:color="auto" w:fill="auto"/>
            <w:noWrap w:val="0"/>
            <w:vAlign w:val="center"/>
          </w:tcPr>
          <w:p w14:paraId="160EAB98">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eastAsia="宋体" w:cs="宋体"/>
                <w:color w:val="000000"/>
                <w:kern w:val="0"/>
                <w:sz w:val="18"/>
                <w:szCs w:val="18"/>
                <w:highlight w:val="none"/>
                <w:lang w:eastAsia="zh-CN"/>
              </w:rPr>
            </w:pPr>
            <w:r>
              <w:rPr>
                <w:rFonts w:hint="eastAsia" w:ascii="宋体" w:hAnsi="宋体" w:cs="宋体"/>
                <w:color w:val="000000"/>
                <w:kern w:val="0"/>
                <w:sz w:val="18"/>
                <w:szCs w:val="18"/>
                <w:highlight w:val="none"/>
                <w:lang w:eastAsia="zh-CN"/>
              </w:rPr>
              <w:t>预算执行率</w:t>
            </w:r>
            <w:r>
              <w:rPr>
                <w:rFonts w:hint="eastAsia" w:ascii="宋体" w:hAnsi="宋体" w:cs="宋体"/>
                <w:color w:val="000000"/>
                <w:kern w:val="0"/>
                <w:sz w:val="18"/>
                <w:szCs w:val="18"/>
                <w:highlight w:val="none"/>
              </w:rPr>
              <w:t>*该指标分值</w:t>
            </w:r>
            <w:r>
              <w:rPr>
                <w:rFonts w:hint="eastAsia" w:ascii="宋体" w:hAnsi="宋体" w:cs="宋体"/>
                <w:color w:val="000000"/>
                <w:kern w:val="0"/>
                <w:sz w:val="18"/>
                <w:szCs w:val="18"/>
                <w:highlight w:val="none"/>
                <w:lang w:eastAsia="zh-CN"/>
              </w:rPr>
              <w:t>。（</w:t>
            </w:r>
            <w:r>
              <w:rPr>
                <w:rFonts w:hint="eastAsia" w:ascii="宋体" w:hAnsi="宋体" w:cs="宋体"/>
                <w:color w:val="000000"/>
                <w:kern w:val="0"/>
                <w:sz w:val="18"/>
                <w:szCs w:val="18"/>
                <w:highlight w:val="none"/>
              </w:rPr>
              <w:t>得分一档最高不能超过该指标分值上限。</w:t>
            </w:r>
            <w:r>
              <w:rPr>
                <w:rFonts w:hint="eastAsia" w:ascii="宋体" w:hAnsi="宋体" w:cs="宋体"/>
                <w:color w:val="000000"/>
                <w:kern w:val="0"/>
                <w:sz w:val="18"/>
                <w:szCs w:val="18"/>
                <w:highlight w:val="none"/>
                <w:lang w:eastAsia="zh-CN"/>
              </w:rPr>
              <w:t>）</w:t>
            </w:r>
          </w:p>
        </w:tc>
      </w:tr>
      <w:tr w14:paraId="0BFF15B0">
        <w:tblPrEx>
          <w:tblCellMar>
            <w:top w:w="0" w:type="dxa"/>
            <w:left w:w="108" w:type="dxa"/>
            <w:bottom w:w="0" w:type="dxa"/>
            <w:right w:w="108" w:type="dxa"/>
          </w:tblCellMar>
        </w:tblPrEx>
        <w:trPr>
          <w:cantSplit/>
          <w:trHeight w:val="200"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5C02777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single" w:color="auto" w:sz="4" w:space="0"/>
              <w:bottom w:val="single" w:color="auto" w:sz="4" w:space="0"/>
              <w:right w:val="nil"/>
            </w:tcBorders>
            <w:shd w:val="clear" w:color="auto" w:fill="auto"/>
            <w:noWrap w:val="0"/>
            <w:vAlign w:val="center"/>
          </w:tcPr>
          <w:p w14:paraId="645E2F0D">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基本支出</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5E9DAF2">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1324981</w:t>
            </w:r>
            <w:r>
              <w:rPr>
                <w:rFonts w:hint="default" w:ascii="宋体" w:hAnsi="宋体" w:eastAsia="宋体" w:cs="宋体"/>
                <w:color w:val="000000"/>
                <w:kern w:val="0"/>
                <w:sz w:val="20"/>
                <w:szCs w:val="20"/>
                <w:highlight w:val="none"/>
                <w:lang w:val="en-US" w:eastAsia="zh-CN"/>
              </w:rPr>
              <w:t>.</w:t>
            </w:r>
            <w:r>
              <w:rPr>
                <w:rFonts w:hint="eastAsia" w:ascii="宋体" w:hAnsi="宋体" w:eastAsia="宋体" w:cs="宋体"/>
                <w:color w:val="000000"/>
                <w:kern w:val="0"/>
                <w:sz w:val="20"/>
                <w:szCs w:val="20"/>
                <w:highlight w:val="none"/>
                <w:lang w:val="en-US" w:eastAsia="zh-CN"/>
              </w:rPr>
              <w:t>30</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0819B211">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1324981</w:t>
            </w:r>
            <w:r>
              <w:rPr>
                <w:rFonts w:hint="default" w:ascii="宋体" w:hAnsi="宋体" w:eastAsia="宋体" w:cs="宋体"/>
                <w:color w:val="000000"/>
                <w:kern w:val="0"/>
                <w:sz w:val="20"/>
                <w:szCs w:val="20"/>
                <w:highlight w:val="none"/>
                <w:lang w:val="en-US" w:eastAsia="zh-CN"/>
              </w:rPr>
              <w:t>.</w:t>
            </w:r>
            <w:r>
              <w:rPr>
                <w:rFonts w:hint="eastAsia" w:ascii="宋体" w:hAnsi="宋体" w:eastAsia="宋体" w:cs="宋体"/>
                <w:color w:val="000000"/>
                <w:kern w:val="0"/>
                <w:sz w:val="20"/>
                <w:szCs w:val="20"/>
                <w:highlight w:val="none"/>
                <w:lang w:val="en-US" w:eastAsia="zh-CN"/>
              </w:rPr>
              <w:t>30</w:t>
            </w:r>
          </w:p>
        </w:tc>
        <w:tc>
          <w:tcPr>
            <w:tcW w:w="427"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F193AE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45A0BE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237" w:type="pct"/>
            <w:vMerge w:val="continue"/>
            <w:tcBorders>
              <w:top w:val="single" w:color="auto" w:sz="4" w:space="0"/>
              <w:left w:val="nil"/>
              <w:bottom w:val="single" w:color="auto" w:sz="4" w:space="0"/>
              <w:right w:val="nil"/>
            </w:tcBorders>
            <w:shd w:val="clear" w:color="auto" w:fill="auto"/>
            <w:noWrap w:val="0"/>
            <w:vAlign w:val="center"/>
          </w:tcPr>
          <w:p w14:paraId="2A50864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104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A495FF4">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5FB6D76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64EE2032">
        <w:tblPrEx>
          <w:shd w:val="clear" w:color="auto" w:fill="auto"/>
          <w:tblCellMar>
            <w:top w:w="0" w:type="dxa"/>
            <w:left w:w="108" w:type="dxa"/>
            <w:bottom w:w="0" w:type="dxa"/>
            <w:right w:w="108" w:type="dxa"/>
          </w:tblCellMar>
        </w:tblPrEx>
        <w:trPr>
          <w:cantSplit/>
          <w:trHeight w:val="208"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2A85457D">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single" w:color="auto" w:sz="4" w:space="0"/>
              <w:bottom w:val="single" w:color="auto" w:sz="4" w:space="0"/>
              <w:right w:val="nil"/>
            </w:tcBorders>
            <w:shd w:val="clear" w:color="auto" w:fill="auto"/>
            <w:noWrap w:val="0"/>
            <w:vAlign w:val="center"/>
          </w:tcPr>
          <w:p w14:paraId="03C0F894">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项目支出</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3F3A4EF">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　486289.30</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38B09769">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486289.30　</w:t>
            </w:r>
          </w:p>
        </w:tc>
        <w:tc>
          <w:tcPr>
            <w:tcW w:w="42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73871E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9B6A52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237" w:type="pct"/>
            <w:vMerge w:val="continue"/>
            <w:tcBorders>
              <w:top w:val="single" w:color="auto" w:sz="4" w:space="0"/>
              <w:left w:val="nil"/>
              <w:bottom w:val="single" w:color="auto" w:sz="4" w:space="0"/>
              <w:right w:val="nil"/>
            </w:tcBorders>
            <w:shd w:val="clear" w:color="auto" w:fill="auto"/>
            <w:noWrap w:val="0"/>
            <w:vAlign w:val="center"/>
          </w:tcPr>
          <w:p w14:paraId="73E0E32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104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156412D">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1EA57F9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01B51E15">
        <w:tblPrEx>
          <w:shd w:val="clear" w:color="auto" w:fill="auto"/>
          <w:tblCellMar>
            <w:top w:w="0" w:type="dxa"/>
            <w:left w:w="108" w:type="dxa"/>
            <w:bottom w:w="0" w:type="dxa"/>
            <w:right w:w="108" w:type="dxa"/>
          </w:tblCellMar>
        </w:tblPrEx>
        <w:trPr>
          <w:cantSplit/>
          <w:trHeight w:val="840"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76BCE3A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0DF5FC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其他</w:t>
            </w: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219479D5">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4C692E6">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0</w:t>
            </w:r>
            <w:r>
              <w:rPr>
                <w:rFonts w:hint="eastAsia" w:ascii="宋体" w:hAnsi="宋体" w:cs="宋体"/>
                <w:color w:val="000000"/>
                <w:kern w:val="0"/>
                <w:sz w:val="20"/>
                <w:szCs w:val="20"/>
                <w:highlight w:val="none"/>
              </w:rPr>
              <w:t>　</w:t>
            </w:r>
          </w:p>
        </w:tc>
        <w:tc>
          <w:tcPr>
            <w:tcW w:w="42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0C7C14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7AFE81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237" w:type="pct"/>
            <w:vMerge w:val="continue"/>
            <w:tcBorders>
              <w:top w:val="single" w:color="auto" w:sz="4" w:space="0"/>
              <w:left w:val="nil"/>
              <w:bottom w:val="single" w:color="auto" w:sz="4" w:space="0"/>
              <w:right w:val="nil"/>
            </w:tcBorders>
            <w:shd w:val="clear" w:color="auto" w:fill="auto"/>
            <w:noWrap w:val="0"/>
            <w:vAlign w:val="center"/>
          </w:tcPr>
          <w:p w14:paraId="678D69F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1045"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C9AE09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9DE8F1D">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5DC90312">
        <w:tblPrEx>
          <w:shd w:val="clear" w:color="auto" w:fill="auto"/>
          <w:tblCellMar>
            <w:top w:w="0" w:type="dxa"/>
            <w:left w:w="108" w:type="dxa"/>
            <w:bottom w:w="0" w:type="dxa"/>
            <w:right w:w="108" w:type="dxa"/>
          </w:tblCellMar>
        </w:tblPrEx>
        <w:trPr>
          <w:cantSplit/>
          <w:trHeight w:val="131" w:hRule="atLeast"/>
        </w:trPr>
        <w:tc>
          <w:tcPr>
            <w:tcW w:w="5000" w:type="pct"/>
            <w:gridSpan w:val="9"/>
            <w:tcBorders>
              <w:top w:val="nil"/>
              <w:left w:val="single" w:color="auto" w:sz="4" w:space="0"/>
              <w:bottom w:val="single" w:color="auto" w:sz="4" w:space="0"/>
              <w:right w:val="single" w:color="auto" w:sz="4" w:space="0"/>
            </w:tcBorders>
            <w:shd w:val="clear" w:color="auto" w:fill="auto"/>
            <w:noWrap w:val="0"/>
            <w:vAlign w:val="center"/>
          </w:tcPr>
          <w:p w14:paraId="711A9F02">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二</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整体绩效目标实现情况（60分）</w:t>
            </w:r>
          </w:p>
        </w:tc>
      </w:tr>
      <w:tr w14:paraId="2046FC3D">
        <w:tblPrEx>
          <w:shd w:val="clear" w:color="auto" w:fill="auto"/>
          <w:tblCellMar>
            <w:top w:w="0" w:type="dxa"/>
            <w:left w:w="108" w:type="dxa"/>
            <w:bottom w:w="0" w:type="dxa"/>
            <w:right w:w="108" w:type="dxa"/>
          </w:tblCellMar>
        </w:tblPrEx>
        <w:trPr>
          <w:cantSplit/>
          <w:trHeight w:val="141" w:hRule="atLeast"/>
        </w:trPr>
        <w:tc>
          <w:tcPr>
            <w:tcW w:w="35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266505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67" w:type="pct"/>
            <w:tcBorders>
              <w:top w:val="single" w:color="auto" w:sz="4" w:space="0"/>
              <w:left w:val="nil"/>
              <w:bottom w:val="single" w:color="auto" w:sz="4" w:space="0"/>
              <w:right w:val="single" w:color="auto" w:sz="4" w:space="0"/>
            </w:tcBorders>
            <w:shd w:val="clear" w:color="auto" w:fill="auto"/>
            <w:noWrap w:val="0"/>
            <w:vAlign w:val="center"/>
          </w:tcPr>
          <w:p w14:paraId="3DAF89F4">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5056F2D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r>
              <w:rPr>
                <w:rFonts w:hint="eastAsia" w:ascii="宋体" w:hAnsi="宋体" w:cs="宋体"/>
                <w:color w:val="000000"/>
                <w:kern w:val="0"/>
                <w:sz w:val="20"/>
                <w:szCs w:val="20"/>
                <w:highlight w:val="none"/>
              </w:rPr>
              <w:t>　</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5BDC65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指标值</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1EF9432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完成值</w:t>
            </w:r>
          </w:p>
        </w:tc>
        <w:tc>
          <w:tcPr>
            <w:tcW w:w="237" w:type="pct"/>
            <w:tcBorders>
              <w:top w:val="single" w:color="auto" w:sz="4" w:space="0"/>
              <w:left w:val="nil"/>
              <w:bottom w:val="single" w:color="auto" w:sz="4" w:space="0"/>
              <w:right w:val="single" w:color="auto" w:sz="4" w:space="0"/>
            </w:tcBorders>
            <w:shd w:val="clear" w:color="auto" w:fill="auto"/>
            <w:noWrap w:val="0"/>
            <w:vAlign w:val="center"/>
          </w:tcPr>
          <w:p w14:paraId="4F7D1A0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37" w:type="pct"/>
            <w:tcBorders>
              <w:top w:val="single" w:color="auto" w:sz="4" w:space="0"/>
              <w:left w:val="nil"/>
              <w:bottom w:val="single" w:color="auto" w:sz="4" w:space="0"/>
              <w:right w:val="nil"/>
            </w:tcBorders>
            <w:shd w:val="clear" w:color="auto" w:fill="auto"/>
            <w:noWrap w:val="0"/>
            <w:vAlign w:val="center"/>
          </w:tcPr>
          <w:p w14:paraId="66C8FAFF">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EAD23F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31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CFB85B6">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14:paraId="5358DC12">
        <w:tblPrEx>
          <w:tblCellMar>
            <w:top w:w="0" w:type="dxa"/>
            <w:left w:w="108" w:type="dxa"/>
            <w:bottom w:w="0" w:type="dxa"/>
            <w:right w:w="108" w:type="dxa"/>
          </w:tblCellMar>
        </w:tblPrEx>
        <w:trPr>
          <w:cantSplit/>
          <w:trHeight w:val="162" w:hRule="atLeast"/>
        </w:trPr>
        <w:tc>
          <w:tcPr>
            <w:tcW w:w="358"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4BF843D">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整体绩效目标实现情况（60）</w:t>
            </w:r>
          </w:p>
        </w:tc>
        <w:tc>
          <w:tcPr>
            <w:tcW w:w="367"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E0CE57D">
            <w:pPr>
              <w:keepNext w:val="0"/>
              <w:keepLines w:val="0"/>
              <w:pageBreakBefore w:val="0"/>
              <w:widowControl/>
              <w:shd w:val="clear"/>
              <w:kinsoku/>
              <w:wordWrap/>
              <w:overflowPunct/>
              <w:topLinePunct w:val="0"/>
              <w:autoSpaceDE/>
              <w:autoSpaceDN/>
              <w:bidi w:val="0"/>
              <w:adjustRightInd w:val="0"/>
              <w:snapToGrid w:val="0"/>
              <w:jc w:val="center"/>
              <w:rPr>
                <w:rFonts w:ascii="宋体" w:hAnsi="宋体" w:cs="宋体"/>
                <w:color w:val="000000"/>
                <w:kern w:val="0"/>
                <w:sz w:val="20"/>
                <w:szCs w:val="20"/>
                <w:highlight w:val="none"/>
              </w:rPr>
            </w:pPr>
          </w:p>
          <w:p w14:paraId="00700A02">
            <w:pPr>
              <w:keepNext w:val="0"/>
              <w:keepLines w:val="0"/>
              <w:pageBreakBefore w:val="0"/>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产出（30）</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063F261">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新发展党员人数</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6017789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≥180名</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5EE12F4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189名</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453602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0"/>
            <w:vAlign w:val="center"/>
          </w:tcPr>
          <w:p w14:paraId="7541FEF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8E0EA9D">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产出数量</w:t>
            </w:r>
            <w:r>
              <w:rPr>
                <w:rFonts w:hint="eastAsia" w:ascii="宋体" w:hAnsi="宋体" w:cs="宋体"/>
                <w:color w:val="000000"/>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highlight w:val="none"/>
              </w:rPr>
              <w:t>产出质量</w:t>
            </w:r>
            <w:r>
              <w:rPr>
                <w:rFonts w:hint="eastAsia" w:ascii="宋体" w:hAnsi="宋体" w:cs="宋体"/>
                <w:color w:val="000000"/>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highlight w:val="none"/>
              </w:rPr>
              <w:t>产出进度：</w:t>
            </w:r>
            <w:r>
              <w:rPr>
                <w:rFonts w:hint="eastAsia" w:ascii="宋体" w:hAnsi="宋体" w:cs="宋体"/>
                <w:color w:val="000000"/>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highlight w:val="none"/>
              </w:rPr>
              <w:t>产出成本</w:t>
            </w:r>
            <w:r>
              <w:rPr>
                <w:rFonts w:hint="eastAsia" w:ascii="宋体" w:hAnsi="宋体" w:cs="宋体"/>
                <w:color w:val="000000"/>
                <w:kern w:val="0"/>
                <w:sz w:val="18"/>
                <w:szCs w:val="18"/>
                <w:highlight w:val="none"/>
              </w:rPr>
              <w:t>：单位产出相对于上一年度的节约额；②单位产出相对于市场同类产出的节约额；③部门公用经费的控制情况。</w:t>
            </w:r>
          </w:p>
        </w:tc>
        <w:tc>
          <w:tcPr>
            <w:tcW w:w="1317" w:type="pct"/>
            <w:vMerge w:val="restart"/>
            <w:tcBorders>
              <w:top w:val="single" w:color="auto" w:sz="4" w:space="0"/>
              <w:left w:val="single" w:color="auto" w:sz="4" w:space="0"/>
              <w:right w:val="single" w:color="auto" w:sz="4" w:space="0"/>
            </w:tcBorders>
            <w:shd w:val="clear" w:color="auto" w:fill="auto"/>
            <w:noWrap w:val="0"/>
            <w:vAlign w:val="center"/>
          </w:tcPr>
          <w:p w14:paraId="748ACA06">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①部门根据本单位情况自行确定并选择产出指标，合理确定各项指标权重。可量化的指标按照比率*单项指标分值即为该指标得分。如果不能定量评价，则以定性的方式进行自评。</w:t>
            </w:r>
          </w:p>
          <w:p w14:paraId="3697C445">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②部门根据实际情况填写</w:t>
            </w:r>
            <w:r>
              <w:rPr>
                <w:rFonts w:hint="eastAsia" w:ascii="宋体" w:hAnsi="宋体" w:cs="宋体"/>
                <w:color w:val="000000"/>
                <w:kern w:val="0"/>
                <w:sz w:val="18"/>
                <w:szCs w:val="18"/>
                <w:highlight w:val="none"/>
                <w:lang w:eastAsia="zh-CN"/>
              </w:rPr>
              <w:t>效果指标</w:t>
            </w:r>
            <w:r>
              <w:rPr>
                <w:rFonts w:hint="eastAsia" w:ascii="宋体" w:hAnsi="宋体" w:cs="宋体"/>
                <w:color w:val="000000"/>
                <w:kern w:val="0"/>
                <w:sz w:val="18"/>
                <w:szCs w:val="18"/>
                <w:highlight w:val="none"/>
              </w:rPr>
              <w:t>，并将其细化为相应的个性化指标。对于效益类指标可从受益对象瞄准度、受益广度和受益深度上进行设计分析。</w:t>
            </w:r>
          </w:p>
          <w:p w14:paraId="67BD184E">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lang w:val="en-US" w:eastAsia="zh-CN" w:bidi="ar-SA"/>
              </w:rPr>
            </w:pPr>
            <w:r>
              <w:rPr>
                <w:rFonts w:hint="eastAsia" w:ascii="宋体" w:hAnsi="宋体" w:cs="宋体"/>
                <w:color w:val="000000"/>
                <w:kern w:val="0"/>
                <w:sz w:val="18"/>
                <w:szCs w:val="18"/>
                <w:highlight w:val="none"/>
              </w:rPr>
              <w:t>②</w:t>
            </w:r>
            <w:r>
              <w:rPr>
                <w:rFonts w:hint="eastAsia" w:ascii="宋体" w:hAnsi="宋体" w:cs="宋体"/>
                <w:color w:val="000000"/>
                <w:kern w:val="0"/>
                <w:sz w:val="18"/>
                <w:szCs w:val="18"/>
                <w:highlight w:val="none"/>
                <w:lang w:eastAsia="zh-CN"/>
              </w:rPr>
              <w:t>若定量</w:t>
            </w:r>
            <w:r>
              <w:rPr>
                <w:rFonts w:hint="eastAsia" w:ascii="宋体" w:hAnsi="宋体" w:cs="宋体"/>
                <w:color w:val="000000"/>
                <w:kern w:val="0"/>
                <w:sz w:val="18"/>
                <w:szCs w:val="18"/>
                <w:highlight w:val="none"/>
              </w:rPr>
              <w:t>指标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30AC84A9">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75F04F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194885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C272716">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新增中小学学位数</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27A5E8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≥8000个</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2575278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8054个</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FD6DD0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19A714A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48AB82A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51855BD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7A07671D">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E49E04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8FCA3B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BB3ABA4">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国家级改革项目</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0D47F55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≥10项</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42FE3A2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13项</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1AFA1A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22DEBA9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D459D8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6DD608F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54AB7893">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A6256B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0B37B6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2D0F7FD">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“双减”重点关注点位数</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7111DA8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≥6600址</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4CDDA9B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6660余址</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8FFDC8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7CD09D4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C590C0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5940A8D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3E978377">
        <w:tblPrEx>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6D5DA4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DF5625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62394CB">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校园食堂升级改造</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28D116A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≥30所</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75524FF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36所</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798F69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31FAC19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C6E9AD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3B01CE8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15579D44">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B211F3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1F75C8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1CD5B94">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上放学高峰期巡查学校</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865F06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≥400所次</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4D7F13F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431所次</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47CFB7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7CE5ADA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6E3990B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165BBB5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07A5B443">
        <w:tblPrEx>
          <w:tblCellMar>
            <w:top w:w="0" w:type="dxa"/>
            <w:left w:w="108" w:type="dxa"/>
            <w:bottom w:w="0" w:type="dxa"/>
            <w:right w:w="108" w:type="dxa"/>
          </w:tblCellMar>
        </w:tblPrEx>
        <w:trPr>
          <w:cantSplit/>
          <w:trHeight w:val="162" w:hRule="atLeast"/>
        </w:trPr>
        <w:tc>
          <w:tcPr>
            <w:tcW w:w="358"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3DF70A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7986ED1">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0B76CDD">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寄宿部安全检查学校</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1AB9E4A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≥100所次</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38715D6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112所次</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4690B1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7CA2F7C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79B6EFFA">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0E31967E">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7F3A84CF">
        <w:tblPrEx>
          <w:shd w:val="clear" w:color="auto" w:fill="auto"/>
          <w:tblCellMar>
            <w:top w:w="0" w:type="dxa"/>
            <w:left w:w="108" w:type="dxa"/>
            <w:bottom w:w="0" w:type="dxa"/>
            <w:right w:w="108" w:type="dxa"/>
          </w:tblCellMar>
        </w:tblPrEx>
        <w:trPr>
          <w:cantSplit/>
          <w:trHeight w:val="211" w:hRule="atLeast"/>
        </w:trPr>
        <w:tc>
          <w:tcPr>
            <w:tcW w:w="358" w:type="pct"/>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14:paraId="284EC24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right w:val="single" w:color="auto" w:sz="4" w:space="0"/>
            </w:tcBorders>
            <w:shd w:val="clear" w:color="auto" w:fill="auto"/>
            <w:noWrap w:val="0"/>
            <w:vAlign w:val="center"/>
          </w:tcPr>
          <w:p w14:paraId="41CAA5AA">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16B2319B">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建筑物和消防安全检查学校</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142D809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≥90所次</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4E81446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98所次</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48649D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57CBA7B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4B1D47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4185567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321C23F6">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4C87A21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left w:val="single" w:color="auto" w:sz="4" w:space="0"/>
              <w:right w:val="single" w:color="auto" w:sz="4" w:space="0"/>
            </w:tcBorders>
            <w:shd w:val="clear" w:color="auto" w:fill="auto"/>
            <w:noWrap w:val="0"/>
            <w:vAlign w:val="center"/>
          </w:tcPr>
          <w:p w14:paraId="43F07B1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25DF7E57">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开通通学车学校</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255BBD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≥20所</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04E95E5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24所</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14655F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37" w:type="pct"/>
            <w:tcBorders>
              <w:top w:val="single" w:color="auto" w:sz="4" w:space="0"/>
              <w:left w:val="nil"/>
              <w:bottom w:val="single" w:color="auto" w:sz="4" w:space="0"/>
              <w:right w:val="nil"/>
            </w:tcBorders>
            <w:shd w:val="clear" w:color="auto" w:fill="auto"/>
            <w:noWrap/>
            <w:vAlign w:val="center"/>
          </w:tcPr>
          <w:p w14:paraId="2A24421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4E00B1A">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52C5070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508DB6C5">
        <w:tblPrEx>
          <w:shd w:val="clear" w:color="auto" w:fill="auto"/>
          <w:tblCellMar>
            <w:top w:w="0" w:type="dxa"/>
            <w:left w:w="108" w:type="dxa"/>
            <w:bottom w:w="0" w:type="dxa"/>
            <w:right w:w="108" w:type="dxa"/>
          </w:tblCellMar>
        </w:tblPrEx>
        <w:trPr>
          <w:cantSplit/>
          <w:trHeight w:val="162"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00FD4401">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left w:val="single" w:color="auto" w:sz="4" w:space="0"/>
              <w:right w:val="single" w:color="auto" w:sz="4" w:space="0"/>
            </w:tcBorders>
            <w:shd w:val="clear" w:color="auto" w:fill="auto"/>
            <w:noWrap w:val="0"/>
            <w:vAlign w:val="center"/>
          </w:tcPr>
          <w:p w14:paraId="5D422A6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11A96565">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项目验收合格率</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6AEDFD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36CF061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23B81B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37" w:type="pct"/>
            <w:tcBorders>
              <w:top w:val="single" w:color="auto" w:sz="4" w:space="0"/>
              <w:left w:val="nil"/>
              <w:bottom w:val="single" w:color="auto" w:sz="4" w:space="0"/>
              <w:right w:val="nil"/>
            </w:tcBorders>
            <w:shd w:val="clear" w:color="auto" w:fill="auto"/>
            <w:noWrap/>
            <w:vAlign w:val="center"/>
          </w:tcPr>
          <w:p w14:paraId="52BCA81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953837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006E4F6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70E1A78F">
        <w:tblPrEx>
          <w:shd w:val="clear" w:color="auto" w:fill="auto"/>
          <w:tblCellMar>
            <w:top w:w="0" w:type="dxa"/>
            <w:left w:w="108" w:type="dxa"/>
            <w:bottom w:w="0" w:type="dxa"/>
            <w:right w:w="108" w:type="dxa"/>
          </w:tblCellMar>
        </w:tblPrEx>
        <w:trPr>
          <w:cantSplit/>
          <w:trHeight w:val="202"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3E6108C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left w:val="single" w:color="auto" w:sz="4" w:space="0"/>
              <w:right w:val="single" w:color="auto" w:sz="4" w:space="0"/>
            </w:tcBorders>
            <w:shd w:val="clear" w:color="auto" w:fill="auto"/>
            <w:noWrap w:val="0"/>
            <w:vAlign w:val="center"/>
          </w:tcPr>
          <w:p w14:paraId="6084640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1B71A323">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年度工作任务完成时间</w:t>
            </w:r>
          </w:p>
        </w:tc>
        <w:tc>
          <w:tcPr>
            <w:tcW w:w="468" w:type="pct"/>
            <w:tcBorders>
              <w:top w:val="nil"/>
              <w:left w:val="nil"/>
              <w:bottom w:val="single" w:color="auto" w:sz="4" w:space="0"/>
              <w:right w:val="single" w:color="auto" w:sz="4" w:space="0"/>
            </w:tcBorders>
            <w:shd w:val="clear" w:color="auto" w:fill="auto"/>
            <w:noWrap w:val="0"/>
            <w:vAlign w:val="center"/>
          </w:tcPr>
          <w:p w14:paraId="54A9283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12月底</w:t>
            </w:r>
          </w:p>
        </w:tc>
        <w:tc>
          <w:tcPr>
            <w:tcW w:w="427" w:type="pct"/>
            <w:tcBorders>
              <w:top w:val="nil"/>
              <w:left w:val="nil"/>
              <w:bottom w:val="single" w:color="auto" w:sz="4" w:space="0"/>
              <w:right w:val="single" w:color="auto" w:sz="4" w:space="0"/>
            </w:tcBorders>
            <w:shd w:val="clear" w:color="auto" w:fill="auto"/>
            <w:noWrap w:val="0"/>
            <w:vAlign w:val="center"/>
          </w:tcPr>
          <w:p w14:paraId="670508C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12月底</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550712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37" w:type="pct"/>
            <w:tcBorders>
              <w:top w:val="nil"/>
              <w:left w:val="nil"/>
              <w:bottom w:val="single" w:color="auto" w:sz="4" w:space="0"/>
              <w:right w:val="nil"/>
            </w:tcBorders>
            <w:shd w:val="clear" w:color="auto" w:fill="auto"/>
            <w:noWrap/>
            <w:vAlign w:val="center"/>
          </w:tcPr>
          <w:p w14:paraId="45F94CD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6136A51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2E038C37">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62FD784F">
        <w:tblPrEx>
          <w:shd w:val="clear" w:color="auto" w:fill="auto"/>
          <w:tblCellMar>
            <w:top w:w="0" w:type="dxa"/>
            <w:left w:w="108" w:type="dxa"/>
            <w:bottom w:w="0" w:type="dxa"/>
            <w:right w:w="108" w:type="dxa"/>
          </w:tblCellMar>
        </w:tblPrEx>
        <w:trPr>
          <w:cantSplit/>
          <w:trHeight w:val="21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3A1B6AB1">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restart"/>
            <w:tcBorders>
              <w:top w:val="nil"/>
              <w:left w:val="single" w:color="auto" w:sz="4" w:space="0"/>
              <w:bottom w:val="single" w:color="auto" w:sz="4" w:space="0"/>
              <w:right w:val="single" w:color="auto" w:sz="4" w:space="0"/>
            </w:tcBorders>
            <w:shd w:val="clear" w:color="auto" w:fill="auto"/>
            <w:noWrap w:val="0"/>
            <w:vAlign w:val="center"/>
          </w:tcPr>
          <w:p w14:paraId="014F91F2">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效果（30）</w:t>
            </w:r>
          </w:p>
        </w:tc>
        <w:tc>
          <w:tcPr>
            <w:tcW w:w="541" w:type="pct"/>
            <w:tcBorders>
              <w:top w:val="nil"/>
              <w:left w:val="nil"/>
              <w:bottom w:val="single" w:color="auto" w:sz="4" w:space="0"/>
              <w:right w:val="single" w:color="auto" w:sz="4" w:space="0"/>
            </w:tcBorders>
            <w:shd w:val="clear" w:color="auto" w:fill="auto"/>
            <w:noWrap w:val="0"/>
            <w:vAlign w:val="center"/>
          </w:tcPr>
          <w:p w14:paraId="03E23C12">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加强区教育系统党的领导</w:t>
            </w:r>
          </w:p>
        </w:tc>
        <w:tc>
          <w:tcPr>
            <w:tcW w:w="468" w:type="pct"/>
            <w:tcBorders>
              <w:top w:val="nil"/>
              <w:left w:val="nil"/>
              <w:bottom w:val="single" w:color="auto" w:sz="4" w:space="0"/>
              <w:right w:val="single" w:color="auto" w:sz="4" w:space="0"/>
            </w:tcBorders>
            <w:shd w:val="clear" w:color="auto" w:fill="auto"/>
            <w:noWrap w:val="0"/>
            <w:vAlign w:val="center"/>
          </w:tcPr>
          <w:p w14:paraId="78085CF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427" w:type="pct"/>
            <w:tcBorders>
              <w:top w:val="nil"/>
              <w:left w:val="nil"/>
              <w:bottom w:val="single" w:color="auto" w:sz="4" w:space="0"/>
              <w:right w:val="single" w:color="auto" w:sz="4" w:space="0"/>
            </w:tcBorders>
            <w:shd w:val="clear" w:color="auto" w:fill="auto"/>
            <w:noWrap w:val="0"/>
            <w:vAlign w:val="center"/>
          </w:tcPr>
          <w:p w14:paraId="522AC99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23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E2E7B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4449C09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045" w:type="pct"/>
            <w:vMerge w:val="restart"/>
            <w:tcBorders>
              <w:top w:val="nil"/>
              <w:left w:val="single" w:color="auto" w:sz="4" w:space="0"/>
              <w:bottom w:val="single" w:color="auto" w:sz="4" w:space="0"/>
              <w:right w:val="single" w:color="auto" w:sz="4" w:space="0"/>
            </w:tcBorders>
            <w:shd w:val="clear" w:color="auto" w:fill="auto"/>
            <w:noWrap w:val="0"/>
            <w:vAlign w:val="center"/>
          </w:tcPr>
          <w:p w14:paraId="12943C55">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经济效益</w:t>
            </w:r>
            <w:r>
              <w:rPr>
                <w:rFonts w:hint="eastAsia" w:ascii="宋体" w:hAnsi="宋体" w:cs="宋体"/>
                <w:color w:val="000000"/>
                <w:kern w:val="0"/>
                <w:sz w:val="18"/>
                <w:szCs w:val="18"/>
                <w:highlight w:val="none"/>
              </w:rPr>
              <w:t>：部门（单位）履行职责对经济发展所带来的直接或间接影响。</w:t>
            </w:r>
            <w:r>
              <w:rPr>
                <w:rFonts w:hint="eastAsia" w:ascii="宋体" w:hAnsi="宋体" w:cs="宋体"/>
                <w:b/>
                <w:bCs/>
                <w:color w:val="000000"/>
                <w:kern w:val="0"/>
                <w:sz w:val="18"/>
                <w:szCs w:val="18"/>
                <w:highlight w:val="none"/>
              </w:rPr>
              <w:t>社会效益</w:t>
            </w:r>
            <w:r>
              <w:rPr>
                <w:rFonts w:hint="eastAsia" w:ascii="宋体" w:hAnsi="宋体" w:cs="宋体"/>
                <w:color w:val="000000"/>
                <w:kern w:val="0"/>
                <w:sz w:val="18"/>
                <w:szCs w:val="18"/>
                <w:highlight w:val="none"/>
              </w:rPr>
              <w:t>：部门（单位）履行职责对社会发展所带来的直接或间接影响。</w:t>
            </w:r>
            <w:r>
              <w:rPr>
                <w:rFonts w:hint="eastAsia" w:ascii="宋体" w:hAnsi="宋体" w:cs="宋体"/>
                <w:b/>
                <w:bCs/>
                <w:color w:val="000000"/>
                <w:kern w:val="0"/>
                <w:sz w:val="18"/>
                <w:szCs w:val="18"/>
                <w:highlight w:val="none"/>
              </w:rPr>
              <w:t>环境效益</w:t>
            </w:r>
            <w:r>
              <w:rPr>
                <w:rFonts w:hint="eastAsia" w:ascii="宋体" w:hAnsi="宋体" w:cs="宋体"/>
                <w:color w:val="000000"/>
                <w:kern w:val="0"/>
                <w:sz w:val="18"/>
                <w:szCs w:val="18"/>
                <w:highlight w:val="none"/>
              </w:rPr>
              <w:t>：部门（单位）履行职责对环境所带来的直接或间接影响。</w:t>
            </w:r>
            <w:r>
              <w:rPr>
                <w:rFonts w:hint="eastAsia" w:ascii="宋体" w:hAnsi="宋体" w:cs="宋体"/>
                <w:b/>
                <w:bCs/>
                <w:color w:val="000000"/>
                <w:kern w:val="0"/>
                <w:sz w:val="18"/>
                <w:szCs w:val="18"/>
                <w:highlight w:val="none"/>
              </w:rPr>
              <w:t>可持续性影响：</w:t>
            </w:r>
            <w:r>
              <w:rPr>
                <w:rFonts w:hint="eastAsia" w:ascii="宋体" w:hAnsi="宋体" w:cs="宋体"/>
                <w:color w:val="000000"/>
                <w:kern w:val="0"/>
                <w:sz w:val="18"/>
                <w:szCs w:val="18"/>
                <w:highlight w:val="none"/>
              </w:rPr>
              <w:t>部门绩效目标实现的长效机制建设情况，部门工作效率提升措施的创新。</w:t>
            </w:r>
            <w:r>
              <w:rPr>
                <w:rFonts w:hint="eastAsia" w:ascii="宋体" w:hAnsi="宋体" w:cs="宋体"/>
                <w:b/>
                <w:bCs/>
                <w:color w:val="000000"/>
                <w:kern w:val="0"/>
                <w:sz w:val="18"/>
                <w:szCs w:val="18"/>
                <w:highlight w:val="none"/>
              </w:rPr>
              <w:t>服务对象满意度</w:t>
            </w:r>
            <w:r>
              <w:rPr>
                <w:rFonts w:hint="eastAsia" w:ascii="宋体" w:hAnsi="宋体" w:cs="宋体"/>
                <w:color w:val="000000"/>
                <w:kern w:val="0"/>
                <w:sz w:val="18"/>
                <w:szCs w:val="18"/>
                <w:highlight w:val="none"/>
              </w:rPr>
              <w:t>：部门（单位）的服务对象对部门履职效果的满意程度。</w:t>
            </w:r>
          </w:p>
        </w:tc>
        <w:tc>
          <w:tcPr>
            <w:tcW w:w="1317" w:type="pct"/>
            <w:vMerge w:val="continue"/>
            <w:tcBorders>
              <w:left w:val="single" w:color="auto" w:sz="4" w:space="0"/>
              <w:right w:val="single" w:color="auto" w:sz="4" w:space="0"/>
            </w:tcBorders>
            <w:shd w:val="clear" w:color="auto" w:fill="auto"/>
            <w:noWrap w:val="0"/>
            <w:vAlign w:val="center"/>
          </w:tcPr>
          <w:p w14:paraId="6890BEC2">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p>
        </w:tc>
      </w:tr>
      <w:tr w14:paraId="1A145B81">
        <w:tblPrEx>
          <w:shd w:val="clear" w:color="auto" w:fill="auto"/>
          <w:tblCellMar>
            <w:top w:w="0" w:type="dxa"/>
            <w:left w:w="108" w:type="dxa"/>
            <w:bottom w:w="0" w:type="dxa"/>
            <w:right w:w="108" w:type="dxa"/>
          </w:tblCellMar>
        </w:tblPrEx>
        <w:trPr>
          <w:cantSplit/>
          <w:trHeight w:val="17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2CE725C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04E314C">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42445B2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幼儿园公办率</w:t>
            </w:r>
          </w:p>
        </w:tc>
        <w:tc>
          <w:tcPr>
            <w:tcW w:w="468" w:type="pct"/>
            <w:tcBorders>
              <w:top w:val="nil"/>
              <w:left w:val="nil"/>
              <w:bottom w:val="single" w:color="auto" w:sz="4" w:space="0"/>
              <w:right w:val="single" w:color="auto" w:sz="4" w:space="0"/>
            </w:tcBorders>
            <w:shd w:val="clear" w:color="auto" w:fill="auto"/>
            <w:noWrap w:val="0"/>
            <w:vAlign w:val="center"/>
          </w:tcPr>
          <w:p w14:paraId="63BC5A0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≥80%</w:t>
            </w:r>
          </w:p>
        </w:tc>
        <w:tc>
          <w:tcPr>
            <w:tcW w:w="427" w:type="pct"/>
            <w:tcBorders>
              <w:top w:val="nil"/>
              <w:left w:val="nil"/>
              <w:bottom w:val="single" w:color="auto" w:sz="4" w:space="0"/>
              <w:right w:val="single" w:color="auto" w:sz="4" w:space="0"/>
            </w:tcBorders>
            <w:shd w:val="clear" w:color="auto" w:fill="auto"/>
            <w:noWrap w:val="0"/>
            <w:vAlign w:val="center"/>
          </w:tcPr>
          <w:p w14:paraId="42391CB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80%</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FF21F2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3E35F99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default" w:ascii="宋体" w:hAnsi="宋体" w:eastAsia="宋体" w:cs="宋体"/>
                <w:i w:val="0"/>
                <w:iCs w:val="0"/>
                <w:color w:val="000000"/>
                <w:kern w:val="0"/>
                <w:sz w:val="20"/>
                <w:szCs w:val="20"/>
                <w:highlight w:val="none"/>
                <w:u w:val="none"/>
                <w:lang w:val="en-US" w:eastAsia="zh-CN" w:bidi="ar"/>
              </w:rPr>
              <w:t>3</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5EB9020D">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64B53D59">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2039CD92">
        <w:tblPrEx>
          <w:shd w:val="clear" w:color="auto" w:fill="auto"/>
          <w:tblCellMar>
            <w:top w:w="0" w:type="dxa"/>
            <w:left w:w="108" w:type="dxa"/>
            <w:bottom w:w="0" w:type="dxa"/>
            <w:right w:w="108" w:type="dxa"/>
          </w:tblCellMar>
        </w:tblPrEx>
        <w:trPr>
          <w:cantSplit/>
          <w:trHeight w:val="17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07AEFEE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7A7F3EB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6BA4C9BF">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教育改革创新</w:t>
            </w:r>
          </w:p>
        </w:tc>
        <w:tc>
          <w:tcPr>
            <w:tcW w:w="468" w:type="pct"/>
            <w:tcBorders>
              <w:top w:val="nil"/>
              <w:left w:val="nil"/>
              <w:bottom w:val="single" w:color="auto" w:sz="4" w:space="0"/>
              <w:right w:val="single" w:color="auto" w:sz="4" w:space="0"/>
            </w:tcBorders>
            <w:shd w:val="clear" w:color="auto" w:fill="auto"/>
            <w:noWrap w:val="0"/>
            <w:vAlign w:val="center"/>
          </w:tcPr>
          <w:p w14:paraId="07C852A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427" w:type="pct"/>
            <w:tcBorders>
              <w:top w:val="nil"/>
              <w:left w:val="nil"/>
              <w:bottom w:val="single" w:color="auto" w:sz="4" w:space="0"/>
              <w:right w:val="single" w:color="auto" w:sz="4" w:space="0"/>
            </w:tcBorders>
            <w:shd w:val="clear" w:color="auto" w:fill="auto"/>
            <w:noWrap w:val="0"/>
            <w:vAlign w:val="center"/>
          </w:tcPr>
          <w:p w14:paraId="7FD7AB5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F5C895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242F3FE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5B98BF7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44E87E4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34C3F5E4">
        <w:tblPrEx>
          <w:tblCellMar>
            <w:top w:w="0" w:type="dxa"/>
            <w:left w:w="108" w:type="dxa"/>
            <w:bottom w:w="0" w:type="dxa"/>
            <w:right w:w="108" w:type="dxa"/>
          </w:tblCellMar>
        </w:tblPrEx>
        <w:trPr>
          <w:cantSplit/>
          <w:trHeight w:val="17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5578D2C6">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4E6947D1">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399F0C7D">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不断提升育人质量</w:t>
            </w:r>
          </w:p>
        </w:tc>
        <w:tc>
          <w:tcPr>
            <w:tcW w:w="468" w:type="pct"/>
            <w:tcBorders>
              <w:top w:val="nil"/>
              <w:left w:val="nil"/>
              <w:bottom w:val="single" w:color="auto" w:sz="4" w:space="0"/>
              <w:right w:val="single" w:color="auto" w:sz="4" w:space="0"/>
            </w:tcBorders>
            <w:shd w:val="clear" w:color="auto" w:fill="auto"/>
            <w:noWrap w:val="0"/>
            <w:vAlign w:val="center"/>
          </w:tcPr>
          <w:p w14:paraId="78BE202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427" w:type="pct"/>
            <w:tcBorders>
              <w:top w:val="nil"/>
              <w:left w:val="nil"/>
              <w:bottom w:val="single" w:color="auto" w:sz="4" w:space="0"/>
              <w:right w:val="single" w:color="auto" w:sz="4" w:space="0"/>
            </w:tcBorders>
            <w:shd w:val="clear" w:color="auto" w:fill="auto"/>
            <w:noWrap w:val="0"/>
            <w:vAlign w:val="center"/>
          </w:tcPr>
          <w:p w14:paraId="4D13994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33BA7D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1CFD968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2420FE3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5B5A060E">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31B11E97">
        <w:tblPrEx>
          <w:tblCellMar>
            <w:top w:w="0" w:type="dxa"/>
            <w:left w:w="108" w:type="dxa"/>
            <w:bottom w:w="0" w:type="dxa"/>
            <w:right w:w="108" w:type="dxa"/>
          </w:tblCellMar>
        </w:tblPrEx>
        <w:trPr>
          <w:cantSplit/>
          <w:trHeight w:val="17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76B6772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058B637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25527EA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建强干部教师队伍</w:t>
            </w:r>
          </w:p>
        </w:tc>
        <w:tc>
          <w:tcPr>
            <w:tcW w:w="468" w:type="pct"/>
            <w:tcBorders>
              <w:top w:val="nil"/>
              <w:left w:val="nil"/>
              <w:bottom w:val="single" w:color="auto" w:sz="4" w:space="0"/>
              <w:right w:val="single" w:color="auto" w:sz="4" w:space="0"/>
            </w:tcBorders>
            <w:shd w:val="clear" w:color="auto" w:fill="auto"/>
            <w:noWrap w:val="0"/>
            <w:vAlign w:val="center"/>
          </w:tcPr>
          <w:p w14:paraId="7FE8789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427" w:type="pct"/>
            <w:tcBorders>
              <w:top w:val="nil"/>
              <w:left w:val="nil"/>
              <w:bottom w:val="single" w:color="auto" w:sz="4" w:space="0"/>
              <w:right w:val="single" w:color="auto" w:sz="4" w:space="0"/>
            </w:tcBorders>
            <w:shd w:val="clear" w:color="auto" w:fill="auto"/>
            <w:noWrap w:val="0"/>
            <w:vAlign w:val="center"/>
          </w:tcPr>
          <w:p w14:paraId="5BB0C09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1ED959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1FBDFE6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6C496E7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1A93590A">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6A8A449F">
        <w:tblPrEx>
          <w:shd w:val="clear" w:color="auto" w:fill="auto"/>
          <w:tblCellMar>
            <w:top w:w="0" w:type="dxa"/>
            <w:left w:w="108" w:type="dxa"/>
            <w:bottom w:w="0" w:type="dxa"/>
            <w:right w:w="108" w:type="dxa"/>
          </w:tblCellMar>
        </w:tblPrEx>
        <w:trPr>
          <w:cantSplit/>
          <w:trHeight w:val="171"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2101725D">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507885C3">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6B6B3CC5">
            <w:pPr>
              <w:keepNext w:val="0"/>
              <w:keepLines w:val="0"/>
              <w:pageBreakBefore w:val="0"/>
              <w:widowControl/>
              <w:suppressLineNumbers w:val="0"/>
              <w:shd w:val="clear"/>
              <w:kinsoku/>
              <w:wordWrap/>
              <w:overflowPunct/>
              <w:topLinePunct w:val="0"/>
              <w:autoSpaceDE/>
              <w:autoSpaceDN/>
              <w:bidi w:val="0"/>
              <w:adjustRightInd w:val="0"/>
              <w:snapToGrid w:val="0"/>
              <w:jc w:val="both"/>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完善治理体系</w:t>
            </w:r>
          </w:p>
        </w:tc>
        <w:tc>
          <w:tcPr>
            <w:tcW w:w="468" w:type="pct"/>
            <w:tcBorders>
              <w:top w:val="nil"/>
              <w:left w:val="nil"/>
              <w:bottom w:val="single" w:color="auto" w:sz="4" w:space="0"/>
              <w:right w:val="single" w:color="auto" w:sz="4" w:space="0"/>
            </w:tcBorders>
            <w:shd w:val="clear" w:color="auto" w:fill="auto"/>
            <w:noWrap w:val="0"/>
            <w:vAlign w:val="center"/>
          </w:tcPr>
          <w:p w14:paraId="4B11853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427" w:type="pct"/>
            <w:tcBorders>
              <w:top w:val="nil"/>
              <w:left w:val="nil"/>
              <w:bottom w:val="single" w:color="auto" w:sz="4" w:space="0"/>
              <w:right w:val="single" w:color="auto" w:sz="4" w:space="0"/>
            </w:tcBorders>
            <w:shd w:val="clear" w:color="auto" w:fill="auto"/>
            <w:noWrap w:val="0"/>
            <w:vAlign w:val="center"/>
          </w:tcPr>
          <w:p w14:paraId="632B9B0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效果显著</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D9261D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37" w:type="pct"/>
            <w:tcBorders>
              <w:top w:val="nil"/>
              <w:left w:val="nil"/>
              <w:bottom w:val="single" w:color="auto" w:sz="4" w:space="0"/>
              <w:right w:val="nil"/>
            </w:tcBorders>
            <w:shd w:val="clear" w:color="auto" w:fill="auto"/>
            <w:noWrap/>
            <w:vAlign w:val="center"/>
          </w:tcPr>
          <w:p w14:paraId="6BABA07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7B2C3A27">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482256C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026CAA26">
        <w:tblPrEx>
          <w:shd w:val="clear" w:color="auto" w:fill="auto"/>
          <w:tblCellMar>
            <w:top w:w="0" w:type="dxa"/>
            <w:left w:w="108" w:type="dxa"/>
            <w:bottom w:w="0" w:type="dxa"/>
            <w:right w:w="108" w:type="dxa"/>
          </w:tblCellMar>
        </w:tblPrEx>
        <w:trPr>
          <w:cantSplit/>
          <w:trHeight w:val="187"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232C8328">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3D4C963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0F98F4D8">
            <w:pPr>
              <w:keepNext w:val="0"/>
              <w:keepLines w:val="0"/>
              <w:pageBreakBefore w:val="0"/>
              <w:widowControl/>
              <w:suppressLineNumbers w:val="0"/>
              <w:shd w:val="clear"/>
              <w:kinsoku/>
              <w:wordWrap/>
              <w:overflowPunct/>
              <w:topLinePunct w:val="0"/>
              <w:autoSpaceDE/>
              <w:autoSpaceDN/>
              <w:bidi w:val="0"/>
              <w:adjustRightInd w:val="0"/>
              <w:snapToGrid w:val="0"/>
              <w:jc w:val="left"/>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来访来件办结率</w:t>
            </w:r>
          </w:p>
        </w:tc>
        <w:tc>
          <w:tcPr>
            <w:tcW w:w="468" w:type="pct"/>
            <w:tcBorders>
              <w:top w:val="nil"/>
              <w:left w:val="nil"/>
              <w:bottom w:val="single" w:color="auto" w:sz="4" w:space="0"/>
              <w:right w:val="single" w:color="auto" w:sz="4" w:space="0"/>
            </w:tcBorders>
            <w:shd w:val="clear" w:color="auto" w:fill="auto"/>
            <w:noWrap w:val="0"/>
            <w:vAlign w:val="center"/>
          </w:tcPr>
          <w:p w14:paraId="1D5DBDD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≥95%</w:t>
            </w:r>
          </w:p>
        </w:tc>
        <w:tc>
          <w:tcPr>
            <w:tcW w:w="427" w:type="pct"/>
            <w:tcBorders>
              <w:top w:val="nil"/>
              <w:left w:val="nil"/>
              <w:bottom w:val="single" w:color="auto" w:sz="4" w:space="0"/>
              <w:right w:val="single" w:color="auto" w:sz="4" w:space="0"/>
            </w:tcBorders>
            <w:shd w:val="clear" w:color="auto" w:fill="auto"/>
            <w:noWrap w:val="0"/>
            <w:vAlign w:val="center"/>
          </w:tcPr>
          <w:p w14:paraId="47BC5DA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cs="宋体"/>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100%</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574A9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237" w:type="pct"/>
            <w:tcBorders>
              <w:top w:val="nil"/>
              <w:left w:val="nil"/>
              <w:bottom w:val="single" w:color="auto" w:sz="4" w:space="0"/>
              <w:right w:val="nil"/>
            </w:tcBorders>
            <w:shd w:val="clear" w:color="auto" w:fill="auto"/>
            <w:noWrap/>
            <w:vAlign w:val="center"/>
          </w:tcPr>
          <w:p w14:paraId="56619B4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w:t>
            </w:r>
          </w:p>
        </w:tc>
        <w:tc>
          <w:tcPr>
            <w:tcW w:w="1045" w:type="pct"/>
            <w:vMerge w:val="continue"/>
            <w:tcBorders>
              <w:top w:val="nil"/>
              <w:left w:val="single" w:color="auto" w:sz="4" w:space="0"/>
              <w:bottom w:val="single" w:color="auto" w:sz="4" w:space="0"/>
              <w:right w:val="single" w:color="auto" w:sz="4" w:space="0"/>
            </w:tcBorders>
            <w:shd w:val="clear" w:color="auto" w:fill="auto"/>
            <w:noWrap w:val="0"/>
            <w:vAlign w:val="center"/>
          </w:tcPr>
          <w:p w14:paraId="2C95580B">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c>
          <w:tcPr>
            <w:tcW w:w="1317" w:type="pct"/>
            <w:vMerge w:val="continue"/>
            <w:tcBorders>
              <w:left w:val="single" w:color="auto" w:sz="4" w:space="0"/>
              <w:right w:val="single" w:color="auto" w:sz="4" w:space="0"/>
            </w:tcBorders>
            <w:shd w:val="clear" w:color="auto" w:fill="auto"/>
            <w:noWrap w:val="0"/>
            <w:vAlign w:val="center"/>
          </w:tcPr>
          <w:p w14:paraId="1C8F871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18"/>
                <w:szCs w:val="18"/>
                <w:highlight w:val="none"/>
              </w:rPr>
            </w:pPr>
          </w:p>
        </w:tc>
      </w:tr>
      <w:tr w14:paraId="366F8546">
        <w:tblPrEx>
          <w:shd w:val="clear" w:color="auto" w:fill="auto"/>
          <w:tblCellMar>
            <w:top w:w="0" w:type="dxa"/>
            <w:left w:w="108" w:type="dxa"/>
            <w:bottom w:w="0" w:type="dxa"/>
            <w:right w:w="108" w:type="dxa"/>
          </w:tblCellMar>
        </w:tblPrEx>
        <w:trPr>
          <w:cantSplit/>
          <w:trHeight w:val="133"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noWrap w:val="0"/>
            <w:vAlign w:val="center"/>
          </w:tcPr>
          <w:p w14:paraId="6412584B">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w:t>
            </w:r>
            <w:r>
              <w:rPr>
                <w:rFonts w:ascii="宋体" w:hAnsi="宋体" w:cs="宋体"/>
                <w:color w:val="000000"/>
                <w:kern w:val="0"/>
                <w:sz w:val="18"/>
                <w:szCs w:val="18"/>
                <w:highlight w:val="none"/>
              </w:rPr>
              <w:t>、</w:t>
            </w:r>
            <w:r>
              <w:rPr>
                <w:rFonts w:hint="eastAsia" w:ascii="宋体" w:hAnsi="宋体" w:cs="宋体"/>
                <w:color w:val="000000"/>
                <w:kern w:val="0"/>
                <w:sz w:val="20"/>
                <w:szCs w:val="20"/>
                <w:highlight w:val="none"/>
              </w:rPr>
              <w:t>预算管理情况（20分）</w:t>
            </w:r>
          </w:p>
        </w:tc>
      </w:tr>
      <w:tr w14:paraId="59261976">
        <w:tblPrEx>
          <w:shd w:val="clear" w:color="auto" w:fill="auto"/>
          <w:tblCellMar>
            <w:top w:w="0" w:type="dxa"/>
            <w:left w:w="108" w:type="dxa"/>
            <w:bottom w:w="0" w:type="dxa"/>
            <w:right w:w="108" w:type="dxa"/>
          </w:tblCellMar>
        </w:tblPrEx>
        <w:trPr>
          <w:cantSplit/>
          <w:trHeight w:val="191" w:hRule="atLeast"/>
        </w:trPr>
        <w:tc>
          <w:tcPr>
            <w:tcW w:w="35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3BD5566">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一</w:t>
            </w:r>
            <w:r>
              <w:rPr>
                <w:rFonts w:ascii="宋体" w:hAnsi="宋体" w:cs="宋体"/>
                <w:color w:val="000000"/>
                <w:kern w:val="0"/>
                <w:sz w:val="20"/>
                <w:szCs w:val="20"/>
                <w:highlight w:val="none"/>
              </w:rPr>
              <w:t>级指标</w:t>
            </w:r>
          </w:p>
        </w:tc>
        <w:tc>
          <w:tcPr>
            <w:tcW w:w="36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11752E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二</w:t>
            </w:r>
            <w:r>
              <w:rPr>
                <w:rFonts w:ascii="宋体" w:hAnsi="宋体" w:cs="宋体"/>
                <w:color w:val="000000"/>
                <w:kern w:val="0"/>
                <w:sz w:val="20"/>
                <w:szCs w:val="20"/>
                <w:highlight w:val="none"/>
              </w:rPr>
              <w:t>级指标</w:t>
            </w: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3DC224DF">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三</w:t>
            </w:r>
            <w:r>
              <w:rPr>
                <w:rFonts w:ascii="宋体" w:hAnsi="宋体" w:cs="宋体"/>
                <w:color w:val="000000"/>
                <w:kern w:val="0"/>
                <w:sz w:val="20"/>
                <w:szCs w:val="20"/>
                <w:highlight w:val="none"/>
              </w:rPr>
              <w:t>级指标</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64A18315">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w:t>
            </w:r>
            <w:r>
              <w:rPr>
                <w:rFonts w:ascii="宋体" w:hAnsi="宋体" w:cs="宋体"/>
                <w:color w:val="000000"/>
                <w:kern w:val="0"/>
                <w:sz w:val="20"/>
                <w:szCs w:val="20"/>
                <w:highlight w:val="none"/>
              </w:rPr>
              <w:t>值</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3663966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完成</w:t>
            </w:r>
            <w:r>
              <w:rPr>
                <w:rFonts w:ascii="宋体" w:hAnsi="宋体" w:cs="宋体"/>
                <w:color w:val="000000"/>
                <w:kern w:val="0"/>
                <w:sz w:val="20"/>
                <w:szCs w:val="20"/>
                <w:highlight w:val="none"/>
              </w:rPr>
              <w:t>值</w:t>
            </w:r>
          </w:p>
        </w:tc>
        <w:tc>
          <w:tcPr>
            <w:tcW w:w="237" w:type="pct"/>
            <w:tcBorders>
              <w:top w:val="single" w:color="auto" w:sz="4" w:space="0"/>
              <w:left w:val="nil"/>
              <w:bottom w:val="single" w:color="auto" w:sz="4" w:space="0"/>
              <w:right w:val="single" w:color="auto" w:sz="4" w:space="0"/>
            </w:tcBorders>
            <w:shd w:val="clear" w:color="auto" w:fill="auto"/>
            <w:noWrap/>
            <w:vAlign w:val="center"/>
          </w:tcPr>
          <w:p w14:paraId="5182DC72">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w:t>
            </w:r>
            <w:r>
              <w:rPr>
                <w:rFonts w:ascii="宋体" w:hAnsi="宋体" w:cs="宋体"/>
                <w:color w:val="000000"/>
                <w:kern w:val="0"/>
                <w:sz w:val="20"/>
                <w:szCs w:val="20"/>
                <w:highlight w:val="none"/>
              </w:rPr>
              <w:t>值</w:t>
            </w:r>
          </w:p>
        </w:tc>
        <w:tc>
          <w:tcPr>
            <w:tcW w:w="237" w:type="pct"/>
            <w:tcBorders>
              <w:top w:val="single" w:color="auto" w:sz="4" w:space="0"/>
              <w:left w:val="nil"/>
              <w:bottom w:val="single" w:color="auto" w:sz="4" w:space="0"/>
              <w:right w:val="nil"/>
            </w:tcBorders>
            <w:shd w:val="clear" w:color="auto" w:fill="auto"/>
            <w:noWrap/>
            <w:vAlign w:val="center"/>
          </w:tcPr>
          <w:p w14:paraId="16FBCD3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w:t>
            </w:r>
            <w:r>
              <w:rPr>
                <w:rFonts w:ascii="宋体" w:hAnsi="宋体" w:cs="宋体"/>
                <w:color w:val="000000"/>
                <w:kern w:val="0"/>
                <w:sz w:val="20"/>
                <w:szCs w:val="20"/>
                <w:highlight w:val="none"/>
              </w:rPr>
              <w:t>分</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4064E6D">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b/>
                <w:bCs/>
                <w:color w:val="000000"/>
                <w:kern w:val="0"/>
                <w:sz w:val="18"/>
                <w:szCs w:val="18"/>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7309401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14:paraId="1D9355B4">
        <w:tblPrEx>
          <w:shd w:val="clear" w:color="auto" w:fill="auto"/>
          <w:tblCellMar>
            <w:top w:w="0" w:type="dxa"/>
            <w:left w:w="108" w:type="dxa"/>
            <w:bottom w:w="0" w:type="dxa"/>
            <w:right w:w="108" w:type="dxa"/>
          </w:tblCellMar>
        </w:tblPrEx>
        <w:trPr>
          <w:cantSplit/>
          <w:trHeight w:val="331" w:hRule="atLeast"/>
        </w:trPr>
        <w:tc>
          <w:tcPr>
            <w:tcW w:w="358"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4B4BB56">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预算管理情况（20）</w:t>
            </w:r>
          </w:p>
        </w:tc>
        <w:tc>
          <w:tcPr>
            <w:tcW w:w="367" w:type="pct"/>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4CAE1A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财务管理（4）</w:t>
            </w: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216AB93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财务管理制度健全性</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4409207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健全</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6873D4C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健全</w:t>
            </w:r>
            <w:r>
              <w:rPr>
                <w:rFonts w:hint="eastAsia" w:ascii="宋体" w:hAnsi="宋体" w:cs="宋体"/>
                <w:color w:val="000000"/>
                <w:kern w:val="0"/>
                <w:sz w:val="20"/>
                <w:szCs w:val="20"/>
                <w:highlight w:val="none"/>
              </w:rPr>
              <w:t>　</w:t>
            </w:r>
          </w:p>
        </w:tc>
        <w:tc>
          <w:tcPr>
            <w:tcW w:w="237" w:type="pct"/>
            <w:tcBorders>
              <w:top w:val="single" w:color="auto" w:sz="4" w:space="0"/>
              <w:left w:val="nil"/>
              <w:bottom w:val="single" w:color="auto" w:sz="4" w:space="0"/>
              <w:right w:val="single" w:color="auto" w:sz="4" w:space="0"/>
            </w:tcBorders>
            <w:shd w:val="clear" w:color="auto" w:fill="auto"/>
            <w:noWrap/>
            <w:vAlign w:val="center"/>
          </w:tcPr>
          <w:p w14:paraId="52CF5E4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237" w:type="pct"/>
            <w:tcBorders>
              <w:top w:val="single" w:color="auto" w:sz="4" w:space="0"/>
              <w:left w:val="nil"/>
              <w:bottom w:val="single" w:color="auto" w:sz="4" w:space="0"/>
              <w:right w:val="nil"/>
            </w:tcBorders>
            <w:shd w:val="clear" w:color="auto" w:fill="auto"/>
            <w:noWrap/>
            <w:vAlign w:val="center"/>
          </w:tcPr>
          <w:p w14:paraId="02871B34">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1</w:t>
            </w:r>
            <w:r>
              <w:rPr>
                <w:rFonts w:hint="eastAsia" w:ascii="宋体" w:hAnsi="宋体" w:cs="宋体"/>
                <w:color w:val="000000"/>
                <w:kern w:val="0"/>
                <w:sz w:val="20"/>
                <w:szCs w:val="20"/>
                <w:highlight w:val="none"/>
              </w:rPr>
              <w:t>　</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7815AB9">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财务管理制度健全性:</w:t>
            </w:r>
            <w:r>
              <w:rPr>
                <w:rFonts w:hint="eastAsia" w:ascii="宋体" w:hAnsi="宋体" w:cs="宋体"/>
                <w:color w:val="000000"/>
                <w:kern w:val="0"/>
                <w:sz w:val="18"/>
                <w:szCs w:val="18"/>
                <w:highlight w:val="none"/>
              </w:rPr>
              <w:t>部门（单位）为加强财务管理、规范财务行为而制定的管理制度。</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11E7287B">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14:paraId="178E613A">
        <w:tblPrEx>
          <w:shd w:val="clear" w:color="auto" w:fill="auto"/>
          <w:tblCellMar>
            <w:top w:w="0" w:type="dxa"/>
            <w:left w:w="108" w:type="dxa"/>
            <w:bottom w:w="0" w:type="dxa"/>
            <w:right w:w="108" w:type="dxa"/>
          </w:tblCellMar>
        </w:tblPrEx>
        <w:trPr>
          <w:cantSplit/>
          <w:trHeight w:val="626" w:hRule="atLeast"/>
        </w:trPr>
        <w:tc>
          <w:tcPr>
            <w:tcW w:w="358" w:type="pct"/>
            <w:vMerge w:val="continue"/>
            <w:tcBorders>
              <w:top w:val="single" w:color="auto" w:sz="4" w:space="0"/>
              <w:left w:val="single" w:color="auto" w:sz="4" w:space="0"/>
              <w:bottom w:val="single" w:color="000000" w:sz="4" w:space="0"/>
              <w:right w:val="single" w:color="auto" w:sz="4" w:space="0"/>
            </w:tcBorders>
            <w:shd w:val="clear" w:color="auto" w:fill="auto"/>
            <w:noWrap w:val="0"/>
            <w:vAlign w:val="center"/>
          </w:tcPr>
          <w:p w14:paraId="1B89DAA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FA336E">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615505D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资金使用合规性和安全性</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085F70C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规范</w:t>
            </w:r>
            <w:r>
              <w:rPr>
                <w:rFonts w:hint="eastAsia" w:ascii="宋体" w:hAnsi="宋体" w:cs="宋体"/>
                <w:color w:val="000000"/>
                <w:kern w:val="0"/>
                <w:sz w:val="20"/>
                <w:szCs w:val="20"/>
                <w:highlight w:val="none"/>
              </w:rPr>
              <w:t>　</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114B6B7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规范</w:t>
            </w:r>
            <w:r>
              <w:rPr>
                <w:rFonts w:hint="eastAsia" w:ascii="宋体" w:hAnsi="宋体" w:cs="宋体"/>
                <w:color w:val="000000"/>
                <w:kern w:val="0"/>
                <w:sz w:val="20"/>
                <w:szCs w:val="20"/>
                <w:highlight w:val="none"/>
              </w:rPr>
              <w:t>　</w:t>
            </w:r>
          </w:p>
        </w:tc>
        <w:tc>
          <w:tcPr>
            <w:tcW w:w="237" w:type="pct"/>
            <w:tcBorders>
              <w:top w:val="single" w:color="auto" w:sz="4" w:space="0"/>
              <w:left w:val="nil"/>
              <w:bottom w:val="single" w:color="auto" w:sz="4" w:space="0"/>
              <w:right w:val="single" w:color="auto" w:sz="4" w:space="0"/>
            </w:tcBorders>
            <w:shd w:val="clear" w:color="auto" w:fill="auto"/>
            <w:noWrap/>
            <w:vAlign w:val="center"/>
          </w:tcPr>
          <w:p w14:paraId="21809E2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237" w:type="pct"/>
            <w:tcBorders>
              <w:top w:val="single" w:color="auto" w:sz="4" w:space="0"/>
              <w:left w:val="nil"/>
              <w:bottom w:val="single" w:color="auto" w:sz="4" w:space="0"/>
              <w:right w:val="nil"/>
            </w:tcBorders>
            <w:shd w:val="clear" w:color="auto" w:fill="auto"/>
            <w:noWrap/>
            <w:vAlign w:val="center"/>
          </w:tcPr>
          <w:p w14:paraId="61E70B6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2</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E817237">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资金使用合规性和安全性:</w:t>
            </w:r>
            <w:r>
              <w:rPr>
                <w:rFonts w:hint="eastAsia" w:ascii="宋体" w:hAnsi="宋体" w:cs="宋体"/>
                <w:color w:val="000000"/>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4F5D031C">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14:paraId="741D57E0">
        <w:tblPrEx>
          <w:tblCellMar>
            <w:top w:w="0" w:type="dxa"/>
            <w:left w:w="108" w:type="dxa"/>
            <w:bottom w:w="0" w:type="dxa"/>
            <w:right w:w="108" w:type="dxa"/>
          </w:tblCellMar>
        </w:tblPrEx>
        <w:trPr>
          <w:cantSplit/>
          <w:trHeight w:val="315"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08E8DB92">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vMerge w:val="continue"/>
            <w:tcBorders>
              <w:top w:val="nil"/>
              <w:left w:val="single" w:color="auto" w:sz="4" w:space="0"/>
              <w:bottom w:val="single" w:color="auto" w:sz="4" w:space="0"/>
              <w:right w:val="single" w:color="auto" w:sz="4" w:space="0"/>
            </w:tcBorders>
            <w:shd w:val="clear" w:color="auto" w:fill="auto"/>
            <w:noWrap w:val="0"/>
            <w:vAlign w:val="center"/>
          </w:tcPr>
          <w:p w14:paraId="1025E95E">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541" w:type="pct"/>
            <w:tcBorders>
              <w:top w:val="nil"/>
              <w:left w:val="nil"/>
              <w:bottom w:val="single" w:color="auto" w:sz="4" w:space="0"/>
              <w:right w:val="single" w:color="auto" w:sz="4" w:space="0"/>
            </w:tcBorders>
            <w:shd w:val="clear" w:color="auto" w:fill="auto"/>
            <w:noWrap w:val="0"/>
            <w:vAlign w:val="center"/>
          </w:tcPr>
          <w:p w14:paraId="1BDF45B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会计基础信息完善性</w:t>
            </w:r>
          </w:p>
        </w:tc>
        <w:tc>
          <w:tcPr>
            <w:tcW w:w="468" w:type="pct"/>
            <w:tcBorders>
              <w:top w:val="nil"/>
              <w:left w:val="nil"/>
              <w:bottom w:val="single" w:color="auto" w:sz="4" w:space="0"/>
              <w:right w:val="single" w:color="auto" w:sz="4" w:space="0"/>
            </w:tcBorders>
            <w:shd w:val="clear" w:color="auto" w:fill="auto"/>
            <w:noWrap w:val="0"/>
            <w:vAlign w:val="center"/>
          </w:tcPr>
          <w:p w14:paraId="54476F3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完善</w:t>
            </w:r>
            <w:r>
              <w:rPr>
                <w:rFonts w:hint="eastAsia" w:ascii="宋体" w:hAnsi="宋体" w:cs="宋体"/>
                <w:color w:val="000000"/>
                <w:kern w:val="0"/>
                <w:sz w:val="20"/>
                <w:szCs w:val="20"/>
                <w:highlight w:val="none"/>
              </w:rPr>
              <w:t>　</w:t>
            </w:r>
          </w:p>
        </w:tc>
        <w:tc>
          <w:tcPr>
            <w:tcW w:w="427" w:type="pct"/>
            <w:tcBorders>
              <w:top w:val="nil"/>
              <w:left w:val="nil"/>
              <w:bottom w:val="single" w:color="auto" w:sz="4" w:space="0"/>
              <w:right w:val="single" w:color="auto" w:sz="4" w:space="0"/>
            </w:tcBorders>
            <w:shd w:val="clear" w:color="auto" w:fill="auto"/>
            <w:noWrap w:val="0"/>
            <w:vAlign w:val="center"/>
          </w:tcPr>
          <w:p w14:paraId="4170801C">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完善</w:t>
            </w:r>
            <w:r>
              <w:rPr>
                <w:rFonts w:hint="eastAsia" w:ascii="宋体" w:hAnsi="宋体" w:cs="宋体"/>
                <w:color w:val="000000"/>
                <w:kern w:val="0"/>
                <w:sz w:val="20"/>
                <w:szCs w:val="20"/>
                <w:highlight w:val="none"/>
              </w:rPr>
              <w:t>　</w:t>
            </w:r>
          </w:p>
        </w:tc>
        <w:tc>
          <w:tcPr>
            <w:tcW w:w="237" w:type="pct"/>
            <w:tcBorders>
              <w:top w:val="nil"/>
              <w:left w:val="nil"/>
              <w:bottom w:val="single" w:color="auto" w:sz="4" w:space="0"/>
              <w:right w:val="single" w:color="auto" w:sz="4" w:space="0"/>
            </w:tcBorders>
            <w:shd w:val="clear" w:color="auto" w:fill="auto"/>
            <w:noWrap/>
            <w:vAlign w:val="center"/>
          </w:tcPr>
          <w:p w14:paraId="2617EB5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237" w:type="pct"/>
            <w:tcBorders>
              <w:top w:val="nil"/>
              <w:left w:val="nil"/>
              <w:bottom w:val="single" w:color="auto" w:sz="4" w:space="0"/>
              <w:right w:val="nil"/>
            </w:tcBorders>
            <w:shd w:val="clear" w:color="auto" w:fill="auto"/>
            <w:noWrap/>
            <w:vAlign w:val="center"/>
          </w:tcPr>
          <w:p w14:paraId="3E5D967C">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w:t>
            </w:r>
          </w:p>
        </w:tc>
        <w:tc>
          <w:tcPr>
            <w:tcW w:w="1045" w:type="pct"/>
            <w:tcBorders>
              <w:top w:val="nil"/>
              <w:left w:val="single" w:color="auto" w:sz="4" w:space="0"/>
              <w:bottom w:val="single" w:color="auto" w:sz="4" w:space="0"/>
              <w:right w:val="single" w:color="auto" w:sz="4" w:space="0"/>
            </w:tcBorders>
            <w:shd w:val="clear" w:color="auto" w:fill="auto"/>
            <w:noWrap w:val="0"/>
            <w:vAlign w:val="center"/>
          </w:tcPr>
          <w:p w14:paraId="29EF9C88">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会计基础信息完善性:</w:t>
            </w:r>
            <w:r>
              <w:rPr>
                <w:rFonts w:hint="eastAsia" w:ascii="宋体" w:hAnsi="宋体" w:cs="宋体"/>
                <w:color w:val="000000"/>
                <w:kern w:val="0"/>
                <w:sz w:val="18"/>
                <w:szCs w:val="18"/>
                <w:highlight w:val="none"/>
              </w:rPr>
              <w:t>部门（单位）会计基础信息情况。</w:t>
            </w:r>
          </w:p>
        </w:tc>
        <w:tc>
          <w:tcPr>
            <w:tcW w:w="1317" w:type="pct"/>
            <w:tcBorders>
              <w:top w:val="nil"/>
              <w:left w:val="nil"/>
              <w:bottom w:val="single" w:color="auto" w:sz="4" w:space="0"/>
              <w:right w:val="single" w:color="auto" w:sz="4" w:space="0"/>
            </w:tcBorders>
            <w:shd w:val="clear" w:color="auto" w:fill="auto"/>
            <w:noWrap w:val="0"/>
            <w:vAlign w:val="center"/>
          </w:tcPr>
          <w:p w14:paraId="52715E22">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14:paraId="2764CC0C">
        <w:tblPrEx>
          <w:shd w:val="clear" w:color="auto" w:fill="auto"/>
          <w:tblCellMar>
            <w:top w:w="0" w:type="dxa"/>
            <w:left w:w="108" w:type="dxa"/>
            <w:bottom w:w="0" w:type="dxa"/>
            <w:right w:w="108" w:type="dxa"/>
          </w:tblCellMar>
        </w:tblPrEx>
        <w:trPr>
          <w:cantSplit/>
          <w:trHeight w:val="596"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0FFDD9E0">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11F396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资产管理（4）</w:t>
            </w:r>
          </w:p>
        </w:tc>
        <w:tc>
          <w:tcPr>
            <w:tcW w:w="541"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BD84F14">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资产管理规范性</w:t>
            </w:r>
          </w:p>
        </w:tc>
        <w:tc>
          <w:tcPr>
            <w:tcW w:w="46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2FC166C">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规范</w:t>
            </w:r>
          </w:p>
        </w:tc>
        <w:tc>
          <w:tcPr>
            <w:tcW w:w="42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9CBABC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规范</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6435473">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3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2635F2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3D74701">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资产管理规范性:</w:t>
            </w:r>
            <w:r>
              <w:rPr>
                <w:rFonts w:hint="eastAsia" w:ascii="宋体" w:hAnsi="宋体" w:cs="宋体"/>
                <w:color w:val="000000"/>
                <w:kern w:val="0"/>
                <w:sz w:val="18"/>
                <w:szCs w:val="18"/>
                <w:highlight w:val="none"/>
              </w:rPr>
              <w:t>部门（单位）的资产是否保持安全完整，资产配置是否合理，资产使用和资产处理是否规范，用以反映和考核部门（单位）资产管理的整体水平。</w:t>
            </w:r>
          </w:p>
        </w:tc>
        <w:tc>
          <w:tcPr>
            <w:tcW w:w="131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CEE04A9">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14:paraId="1ED7878D">
        <w:tblPrEx>
          <w:shd w:val="clear" w:color="auto" w:fill="auto"/>
          <w:tblCellMar>
            <w:top w:w="0" w:type="dxa"/>
            <w:left w:w="108" w:type="dxa"/>
            <w:bottom w:w="0" w:type="dxa"/>
            <w:right w:w="108" w:type="dxa"/>
          </w:tblCellMar>
        </w:tblPrEx>
        <w:trPr>
          <w:cantSplit/>
          <w:trHeight w:val="402"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5D6725DF">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nil"/>
              <w:bottom w:val="single" w:color="auto" w:sz="4" w:space="0"/>
              <w:right w:val="single" w:color="auto" w:sz="4" w:space="0"/>
            </w:tcBorders>
            <w:shd w:val="clear" w:color="auto" w:fill="auto"/>
            <w:noWrap w:val="0"/>
            <w:vAlign w:val="center"/>
          </w:tcPr>
          <w:p w14:paraId="1ECC5E0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绩效管理（4）</w:t>
            </w:r>
          </w:p>
        </w:tc>
        <w:tc>
          <w:tcPr>
            <w:tcW w:w="541" w:type="pct"/>
            <w:tcBorders>
              <w:top w:val="single" w:color="auto" w:sz="4" w:space="0"/>
              <w:left w:val="nil"/>
              <w:bottom w:val="single" w:color="auto" w:sz="4" w:space="0"/>
              <w:right w:val="single" w:color="auto" w:sz="4" w:space="0"/>
            </w:tcBorders>
            <w:shd w:val="clear" w:color="auto" w:fill="auto"/>
            <w:noWrap w:val="0"/>
            <w:vAlign w:val="center"/>
          </w:tcPr>
          <w:p w14:paraId="62E4788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绩效管理情况</w:t>
            </w:r>
          </w:p>
        </w:tc>
        <w:tc>
          <w:tcPr>
            <w:tcW w:w="468" w:type="pct"/>
            <w:tcBorders>
              <w:top w:val="single" w:color="auto" w:sz="4" w:space="0"/>
              <w:left w:val="nil"/>
              <w:bottom w:val="single" w:color="auto" w:sz="4" w:space="0"/>
              <w:right w:val="single" w:color="auto" w:sz="4" w:space="0"/>
            </w:tcBorders>
            <w:shd w:val="clear" w:color="auto" w:fill="auto"/>
            <w:noWrap w:val="0"/>
            <w:vAlign w:val="center"/>
          </w:tcPr>
          <w:p w14:paraId="6C13136C">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完善</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670DC2D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完善</w:t>
            </w:r>
          </w:p>
        </w:tc>
        <w:tc>
          <w:tcPr>
            <w:tcW w:w="237" w:type="pct"/>
            <w:tcBorders>
              <w:top w:val="single" w:color="auto" w:sz="4" w:space="0"/>
              <w:left w:val="nil"/>
              <w:bottom w:val="single" w:color="auto" w:sz="4" w:space="0"/>
              <w:right w:val="single" w:color="auto" w:sz="4" w:space="0"/>
            </w:tcBorders>
            <w:shd w:val="clear" w:color="auto" w:fill="auto"/>
            <w:noWrap w:val="0"/>
            <w:vAlign w:val="center"/>
          </w:tcPr>
          <w:p w14:paraId="0F37A46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37" w:type="pct"/>
            <w:tcBorders>
              <w:top w:val="single" w:color="auto" w:sz="4" w:space="0"/>
              <w:left w:val="nil"/>
              <w:bottom w:val="single" w:color="auto" w:sz="4" w:space="0"/>
              <w:right w:val="nil"/>
            </w:tcBorders>
            <w:shd w:val="clear" w:color="auto" w:fill="auto"/>
            <w:noWrap w:val="0"/>
            <w:vAlign w:val="center"/>
          </w:tcPr>
          <w:p w14:paraId="7E8A61DB">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84B7D6A">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b/>
                <w:bCs/>
                <w:color w:val="000000"/>
                <w:kern w:val="0"/>
                <w:sz w:val="18"/>
                <w:szCs w:val="18"/>
                <w:highlight w:val="none"/>
              </w:rPr>
              <w:t>绩效管理情况:</w:t>
            </w:r>
            <w:r>
              <w:rPr>
                <w:rFonts w:hint="eastAsia" w:ascii="宋体" w:hAnsi="宋体" w:cs="宋体"/>
                <w:color w:val="000000"/>
                <w:kern w:val="0"/>
                <w:sz w:val="18"/>
                <w:szCs w:val="18"/>
                <w:highlight w:val="none"/>
              </w:rPr>
              <w:t>考核部门（单位）在绩效管理信息的汇总和应用情况。</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62689599">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①部门（单位）是否及时对绩效信息进行汇总分析整理；②部门（单位）是否对绩效目标偏离情况及时进行矫正。每有一项不合格扣2分。</w:t>
            </w:r>
          </w:p>
        </w:tc>
      </w:tr>
      <w:tr w14:paraId="75F53C29">
        <w:tblPrEx>
          <w:tblCellMar>
            <w:top w:w="0" w:type="dxa"/>
            <w:left w:w="108" w:type="dxa"/>
            <w:bottom w:w="0" w:type="dxa"/>
            <w:right w:w="108" w:type="dxa"/>
          </w:tblCellMar>
        </w:tblPrEx>
        <w:trPr>
          <w:cantSplit/>
          <w:trHeight w:val="108"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0A9D88C9">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single" w:color="auto" w:sz="4" w:space="0"/>
              <w:left w:val="nil"/>
              <w:bottom w:val="single" w:color="auto" w:sz="4" w:space="0"/>
              <w:right w:val="single" w:color="auto" w:sz="4" w:space="0"/>
            </w:tcBorders>
            <w:shd w:val="clear" w:color="auto" w:fill="auto"/>
            <w:noWrap w:val="0"/>
            <w:vAlign w:val="center"/>
          </w:tcPr>
          <w:p w14:paraId="65810E3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指标　</w:t>
            </w:r>
          </w:p>
        </w:tc>
        <w:tc>
          <w:tcPr>
            <w:tcW w:w="1009" w:type="pct"/>
            <w:gridSpan w:val="2"/>
            <w:tcBorders>
              <w:top w:val="single" w:color="auto" w:sz="4" w:space="0"/>
              <w:left w:val="nil"/>
              <w:bottom w:val="single" w:color="auto" w:sz="4" w:space="0"/>
              <w:right w:val="single" w:color="000000" w:sz="4" w:space="0"/>
            </w:tcBorders>
            <w:shd w:val="clear" w:color="auto" w:fill="auto"/>
            <w:noWrap w:val="0"/>
            <w:vAlign w:val="center"/>
          </w:tcPr>
          <w:p w14:paraId="5B69F299">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2023</w:t>
            </w:r>
            <w:r>
              <w:rPr>
                <w:rFonts w:hint="eastAsia" w:ascii="宋体" w:hAnsi="宋体" w:cs="宋体"/>
                <w:color w:val="000000"/>
                <w:kern w:val="0"/>
                <w:sz w:val="20"/>
                <w:szCs w:val="20"/>
                <w:highlight w:val="none"/>
              </w:rPr>
              <w:t>年</w:t>
            </w:r>
          </w:p>
        </w:tc>
        <w:tc>
          <w:tcPr>
            <w:tcW w:w="427" w:type="pct"/>
            <w:tcBorders>
              <w:top w:val="single" w:color="auto" w:sz="4" w:space="0"/>
              <w:left w:val="nil"/>
              <w:bottom w:val="single" w:color="auto" w:sz="4" w:space="0"/>
              <w:right w:val="single" w:color="auto" w:sz="4" w:space="0"/>
            </w:tcBorders>
            <w:shd w:val="clear" w:color="auto" w:fill="auto"/>
            <w:noWrap w:val="0"/>
            <w:vAlign w:val="center"/>
          </w:tcPr>
          <w:p w14:paraId="2CBBFE6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2024</w:t>
            </w:r>
            <w:r>
              <w:rPr>
                <w:rFonts w:hint="eastAsia" w:ascii="宋体" w:hAnsi="宋体" w:cs="宋体"/>
                <w:color w:val="000000"/>
                <w:kern w:val="0"/>
                <w:sz w:val="20"/>
                <w:szCs w:val="20"/>
                <w:highlight w:val="none"/>
              </w:rPr>
              <w:t>年</w:t>
            </w:r>
          </w:p>
        </w:tc>
        <w:tc>
          <w:tcPr>
            <w:tcW w:w="237" w:type="pct"/>
            <w:tcBorders>
              <w:top w:val="single" w:color="auto" w:sz="4" w:space="0"/>
              <w:left w:val="nil"/>
              <w:bottom w:val="single" w:color="auto" w:sz="4" w:space="0"/>
              <w:right w:val="single" w:color="auto" w:sz="4" w:space="0"/>
            </w:tcBorders>
            <w:shd w:val="clear" w:color="auto" w:fill="auto"/>
            <w:noWrap w:val="0"/>
            <w:vAlign w:val="center"/>
          </w:tcPr>
          <w:p w14:paraId="3EFE23CA">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分值</w:t>
            </w:r>
          </w:p>
        </w:tc>
        <w:tc>
          <w:tcPr>
            <w:tcW w:w="237" w:type="pct"/>
            <w:tcBorders>
              <w:top w:val="single" w:color="auto" w:sz="4" w:space="0"/>
              <w:left w:val="nil"/>
              <w:bottom w:val="single" w:color="auto" w:sz="4" w:space="0"/>
              <w:right w:val="single" w:color="auto" w:sz="4" w:space="0"/>
            </w:tcBorders>
            <w:shd w:val="clear" w:color="auto" w:fill="auto"/>
            <w:noWrap w:val="0"/>
            <w:vAlign w:val="center"/>
          </w:tcPr>
          <w:p w14:paraId="34CC68C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得分</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7AB6B2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bCs/>
                <w:color w:val="000000"/>
                <w:kern w:val="0"/>
                <w:sz w:val="18"/>
                <w:szCs w:val="18"/>
                <w:highlight w:val="none"/>
              </w:rPr>
              <w:t>指标</w:t>
            </w:r>
            <w:r>
              <w:rPr>
                <w:rFonts w:ascii="宋体" w:hAnsi="宋体" w:cs="宋体"/>
                <w:bCs/>
                <w:color w:val="000000"/>
                <w:kern w:val="0"/>
                <w:sz w:val="18"/>
                <w:szCs w:val="18"/>
                <w:highlight w:val="none"/>
              </w:rPr>
              <w:t>解释</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297D7E15">
            <w:pPr>
              <w:keepNext w:val="0"/>
              <w:keepLines w:val="0"/>
              <w:pageBreakBefore w:val="0"/>
              <w:widowControl/>
              <w:shd w:val="clear"/>
              <w:kinsoku/>
              <w:wordWrap/>
              <w:overflowPunct/>
              <w:topLinePunct w:val="0"/>
              <w:autoSpaceDE/>
              <w:autoSpaceDN/>
              <w:bidi w:val="0"/>
              <w:adjustRightInd w:val="0"/>
              <w:snapToGrid w:val="0"/>
              <w:jc w:val="center"/>
              <w:rPr>
                <w:rFonts w:eastAsia="Times New Roman"/>
                <w:kern w:val="0"/>
                <w:sz w:val="20"/>
                <w:szCs w:val="20"/>
                <w:highlight w:val="none"/>
              </w:rPr>
            </w:pPr>
            <w:r>
              <w:rPr>
                <w:rFonts w:hint="eastAsia" w:ascii="宋体" w:hAnsi="宋体" w:cs="宋体"/>
                <w:color w:val="000000"/>
                <w:kern w:val="0"/>
                <w:sz w:val="18"/>
                <w:szCs w:val="18"/>
                <w:highlight w:val="none"/>
              </w:rPr>
              <w:t>评</w:t>
            </w:r>
            <w:r>
              <w:rPr>
                <w:rFonts w:ascii="宋体" w:hAnsi="宋体" w:cs="宋体"/>
                <w:color w:val="000000"/>
                <w:kern w:val="0"/>
                <w:sz w:val="18"/>
                <w:szCs w:val="18"/>
                <w:highlight w:val="none"/>
              </w:rPr>
              <w:t>分标准</w:t>
            </w:r>
          </w:p>
        </w:tc>
      </w:tr>
      <w:tr w14:paraId="62A65577">
        <w:tblPrEx>
          <w:shd w:val="clear" w:color="auto" w:fill="auto"/>
          <w:tblCellMar>
            <w:top w:w="0" w:type="dxa"/>
            <w:left w:w="108" w:type="dxa"/>
            <w:bottom w:w="0" w:type="dxa"/>
            <w:right w:w="108" w:type="dxa"/>
          </w:tblCellMar>
        </w:tblPrEx>
        <w:trPr>
          <w:cantSplit/>
          <w:trHeight w:val="449"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321790E7">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nil"/>
              <w:left w:val="nil"/>
              <w:bottom w:val="single" w:color="auto" w:sz="4" w:space="0"/>
              <w:right w:val="single" w:color="auto" w:sz="4" w:space="0"/>
            </w:tcBorders>
            <w:shd w:val="clear" w:color="auto" w:fill="auto"/>
            <w:noWrap w:val="0"/>
            <w:vAlign w:val="center"/>
          </w:tcPr>
          <w:p w14:paraId="604E4FD0">
            <w:pPr>
              <w:keepNext w:val="0"/>
              <w:keepLines w:val="0"/>
              <w:pageBreakBefore w:val="0"/>
              <w:widowControl/>
              <w:shd w:val="clear"/>
              <w:kinsoku/>
              <w:wordWrap/>
              <w:overflowPunct/>
              <w:topLinePunct w:val="0"/>
              <w:autoSpaceDE/>
              <w:autoSpaceDN/>
              <w:bidi w:val="0"/>
              <w:adjustRightInd w:val="0"/>
              <w:snapToGrid w:val="0"/>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结转结余率（4）</w:t>
            </w:r>
          </w:p>
        </w:tc>
        <w:tc>
          <w:tcPr>
            <w:tcW w:w="1009" w:type="pct"/>
            <w:gridSpan w:val="2"/>
            <w:tcBorders>
              <w:top w:val="single" w:color="auto" w:sz="4" w:space="0"/>
              <w:left w:val="nil"/>
              <w:bottom w:val="single" w:color="auto" w:sz="4" w:space="0"/>
              <w:right w:val="single" w:color="000000" w:sz="4" w:space="0"/>
            </w:tcBorders>
            <w:shd w:val="clear" w:color="auto" w:fill="auto"/>
            <w:noWrap w:val="0"/>
            <w:vAlign w:val="center"/>
          </w:tcPr>
          <w:p w14:paraId="0569C374">
            <w:pPr>
              <w:keepNext w:val="0"/>
              <w:keepLines w:val="0"/>
              <w:pageBreakBefore w:val="0"/>
              <w:widowControl/>
              <w:shd w:val="clear"/>
              <w:kinsoku/>
              <w:wordWrap/>
              <w:overflowPunct/>
              <w:topLinePunct w:val="0"/>
              <w:autoSpaceDE/>
              <w:autoSpaceDN/>
              <w:bidi w:val="0"/>
              <w:adjustRightInd w:val="0"/>
              <w:snapToGrid w:val="0"/>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　</w:t>
            </w:r>
            <w:r>
              <w:rPr>
                <w:rFonts w:hint="eastAsia" w:ascii="宋体" w:hAnsi="宋体" w:cs="宋体"/>
                <w:color w:val="000000"/>
                <w:kern w:val="0"/>
                <w:sz w:val="20"/>
                <w:szCs w:val="20"/>
                <w:highlight w:val="none"/>
                <w:lang w:val="en-US" w:eastAsia="zh-CN"/>
              </w:rPr>
              <w:t>0.15%</w:t>
            </w:r>
          </w:p>
        </w:tc>
        <w:tc>
          <w:tcPr>
            <w:tcW w:w="427" w:type="pct"/>
            <w:tcBorders>
              <w:top w:val="nil"/>
              <w:left w:val="nil"/>
              <w:bottom w:val="single" w:color="auto" w:sz="4" w:space="0"/>
              <w:right w:val="single" w:color="auto" w:sz="4" w:space="0"/>
            </w:tcBorders>
            <w:shd w:val="clear" w:color="auto" w:fill="auto"/>
            <w:noWrap w:val="0"/>
            <w:vAlign w:val="center"/>
          </w:tcPr>
          <w:p w14:paraId="406B4EA0">
            <w:pPr>
              <w:keepNext w:val="0"/>
              <w:keepLines w:val="0"/>
              <w:pageBreakBefore w:val="0"/>
              <w:widowControl/>
              <w:shd w:val="clear"/>
              <w:kinsoku/>
              <w:wordWrap/>
              <w:overflowPunct/>
              <w:topLinePunct w:val="0"/>
              <w:autoSpaceDE/>
              <w:autoSpaceDN/>
              <w:bidi w:val="0"/>
              <w:adjustRightInd w:val="0"/>
              <w:snapToGrid w:val="0"/>
              <w:jc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0.10%</w:t>
            </w:r>
          </w:p>
        </w:tc>
        <w:tc>
          <w:tcPr>
            <w:tcW w:w="237" w:type="pct"/>
            <w:tcBorders>
              <w:top w:val="nil"/>
              <w:left w:val="nil"/>
              <w:bottom w:val="single" w:color="auto" w:sz="4" w:space="0"/>
              <w:right w:val="single" w:color="auto" w:sz="4" w:space="0"/>
            </w:tcBorders>
            <w:shd w:val="clear" w:color="auto" w:fill="auto"/>
            <w:noWrap w:val="0"/>
            <w:vAlign w:val="center"/>
          </w:tcPr>
          <w:p w14:paraId="4EB7E2F9">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37" w:type="pct"/>
            <w:tcBorders>
              <w:top w:val="nil"/>
              <w:left w:val="nil"/>
              <w:bottom w:val="single" w:color="auto" w:sz="4" w:space="0"/>
              <w:right w:val="nil"/>
            </w:tcBorders>
            <w:shd w:val="clear" w:color="auto" w:fill="auto"/>
            <w:noWrap w:val="0"/>
            <w:vAlign w:val="center"/>
          </w:tcPr>
          <w:p w14:paraId="78FA0A20">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1045"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10FE94F">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结转结余率=结转结余总额/支出预算数×100%。</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结转结余总额：部门（单位）本年度的结转资金与结余资金之和。</w:t>
            </w:r>
          </w:p>
        </w:tc>
        <w:tc>
          <w:tcPr>
            <w:tcW w:w="1317" w:type="pct"/>
            <w:tcBorders>
              <w:top w:val="single" w:color="auto" w:sz="4" w:space="0"/>
              <w:left w:val="nil"/>
              <w:bottom w:val="single" w:color="auto" w:sz="4" w:space="0"/>
              <w:right w:val="single" w:color="auto" w:sz="4" w:space="0"/>
            </w:tcBorders>
            <w:shd w:val="clear" w:color="auto" w:fill="auto"/>
            <w:noWrap w:val="0"/>
            <w:vAlign w:val="center"/>
          </w:tcPr>
          <w:p w14:paraId="0F152817">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部门结转结余率低于上年的不扣分；高于上年结余率，每高出1个百分点扣0.4分，扣完为止。（说明：如非预算部门主观因素导致扣分的，经相关部门预算</w:t>
            </w:r>
            <w:r>
              <w:rPr>
                <w:rFonts w:hint="eastAsia" w:ascii="宋体" w:hAnsi="宋体" w:cs="宋体"/>
                <w:color w:val="000000"/>
                <w:kern w:val="0"/>
                <w:sz w:val="18"/>
                <w:szCs w:val="18"/>
                <w:highlight w:val="none"/>
                <w:lang w:eastAsia="zh-CN"/>
              </w:rPr>
              <w:t>主管科室同意</w:t>
            </w:r>
            <w:r>
              <w:rPr>
                <w:rFonts w:hint="eastAsia" w:ascii="宋体" w:hAnsi="宋体" w:cs="宋体"/>
                <w:color w:val="000000"/>
                <w:kern w:val="0"/>
                <w:sz w:val="18"/>
                <w:szCs w:val="18"/>
                <w:highlight w:val="none"/>
              </w:rPr>
              <w:t>，可作为例外情况酌情考虑。）</w:t>
            </w:r>
          </w:p>
        </w:tc>
      </w:tr>
      <w:tr w14:paraId="325128DC">
        <w:tblPrEx>
          <w:tblCellMar>
            <w:top w:w="0" w:type="dxa"/>
            <w:left w:w="108" w:type="dxa"/>
            <w:bottom w:w="0" w:type="dxa"/>
            <w:right w:w="108" w:type="dxa"/>
          </w:tblCellMar>
        </w:tblPrEx>
        <w:trPr>
          <w:cantSplit/>
          <w:trHeight w:val="315" w:hRule="atLeast"/>
        </w:trPr>
        <w:tc>
          <w:tcPr>
            <w:tcW w:w="358" w:type="pct"/>
            <w:vMerge w:val="continue"/>
            <w:tcBorders>
              <w:top w:val="nil"/>
              <w:left w:val="single" w:color="auto" w:sz="4" w:space="0"/>
              <w:bottom w:val="single" w:color="000000" w:sz="4" w:space="0"/>
              <w:right w:val="single" w:color="auto" w:sz="4" w:space="0"/>
            </w:tcBorders>
            <w:shd w:val="clear" w:color="auto" w:fill="auto"/>
            <w:noWrap w:val="0"/>
            <w:vAlign w:val="center"/>
          </w:tcPr>
          <w:p w14:paraId="49D2CDA5">
            <w:pPr>
              <w:keepNext w:val="0"/>
              <w:keepLines w:val="0"/>
              <w:pageBreakBefore w:val="0"/>
              <w:widowControl/>
              <w:shd w:val="clear"/>
              <w:kinsoku/>
              <w:wordWrap/>
              <w:overflowPunct/>
              <w:topLinePunct w:val="0"/>
              <w:autoSpaceDE/>
              <w:autoSpaceDN/>
              <w:bidi w:val="0"/>
              <w:adjustRightInd w:val="0"/>
              <w:snapToGrid w:val="0"/>
              <w:jc w:val="left"/>
              <w:rPr>
                <w:rFonts w:ascii="宋体" w:hAnsi="宋体" w:cs="宋体"/>
                <w:color w:val="000000"/>
                <w:kern w:val="0"/>
                <w:sz w:val="20"/>
                <w:szCs w:val="20"/>
                <w:highlight w:val="none"/>
              </w:rPr>
            </w:pPr>
          </w:p>
        </w:tc>
        <w:tc>
          <w:tcPr>
            <w:tcW w:w="367" w:type="pct"/>
            <w:tcBorders>
              <w:top w:val="nil"/>
              <w:left w:val="nil"/>
              <w:bottom w:val="single" w:color="auto" w:sz="4" w:space="0"/>
              <w:right w:val="single" w:color="auto" w:sz="4" w:space="0"/>
            </w:tcBorders>
            <w:shd w:val="clear" w:color="auto" w:fill="auto"/>
            <w:noWrap w:val="0"/>
            <w:vAlign w:val="center"/>
          </w:tcPr>
          <w:p w14:paraId="67FE0350">
            <w:pPr>
              <w:keepNext w:val="0"/>
              <w:keepLines w:val="0"/>
              <w:pageBreakBefore w:val="0"/>
              <w:widowControl/>
              <w:shd w:val="clear"/>
              <w:kinsoku/>
              <w:wordWrap/>
              <w:overflowPunct/>
              <w:topLinePunct w:val="0"/>
              <w:autoSpaceDE/>
              <w:autoSpaceDN/>
              <w:bidi w:val="0"/>
              <w:adjustRightInd w:val="0"/>
              <w:snapToGrid w:val="0"/>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部门预决算差异率（4）</w:t>
            </w:r>
          </w:p>
        </w:tc>
        <w:tc>
          <w:tcPr>
            <w:tcW w:w="1009" w:type="pct"/>
            <w:gridSpan w:val="2"/>
            <w:tcBorders>
              <w:top w:val="single" w:color="auto" w:sz="4" w:space="0"/>
              <w:left w:val="nil"/>
              <w:bottom w:val="single" w:color="auto" w:sz="4" w:space="0"/>
              <w:right w:val="nil"/>
            </w:tcBorders>
            <w:shd w:val="clear" w:color="auto" w:fill="auto"/>
            <w:noWrap w:val="0"/>
            <w:vAlign w:val="center"/>
          </w:tcPr>
          <w:p w14:paraId="4839C02E">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w:t>
            </w:r>
          </w:p>
        </w:tc>
        <w:tc>
          <w:tcPr>
            <w:tcW w:w="427" w:type="pct"/>
            <w:tcBorders>
              <w:top w:val="nil"/>
              <w:left w:val="single" w:color="auto" w:sz="4" w:space="0"/>
              <w:bottom w:val="single" w:color="auto" w:sz="4" w:space="0"/>
              <w:right w:val="single" w:color="auto" w:sz="4" w:space="0"/>
            </w:tcBorders>
            <w:shd w:val="clear" w:color="auto" w:fill="auto"/>
            <w:noWrap w:val="0"/>
            <w:vAlign w:val="center"/>
          </w:tcPr>
          <w:p w14:paraId="2FD1A3A1">
            <w:pPr>
              <w:keepNext w:val="0"/>
              <w:keepLines w:val="0"/>
              <w:pageBreakBefore w:val="0"/>
              <w:widowControl/>
              <w:shd w:val="clear"/>
              <w:kinsoku/>
              <w:wordWrap/>
              <w:overflowPunct/>
              <w:topLinePunct w:val="0"/>
              <w:autoSpaceDE/>
              <w:autoSpaceDN/>
              <w:bidi w:val="0"/>
              <w:adjustRightInd w:val="0"/>
              <w:snapToGrid w:val="0"/>
              <w:jc w:val="left"/>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　</w:t>
            </w:r>
            <w:r>
              <w:rPr>
                <w:rFonts w:hint="eastAsia" w:ascii="宋体" w:hAnsi="宋体" w:cs="宋体"/>
                <w:color w:val="000000"/>
                <w:kern w:val="0"/>
                <w:sz w:val="20"/>
                <w:szCs w:val="20"/>
                <w:highlight w:val="none"/>
                <w:lang w:val="en-US" w:eastAsia="zh-CN"/>
              </w:rPr>
              <w:t>10.08%</w:t>
            </w:r>
          </w:p>
        </w:tc>
        <w:tc>
          <w:tcPr>
            <w:tcW w:w="237" w:type="pct"/>
            <w:tcBorders>
              <w:top w:val="nil"/>
              <w:left w:val="nil"/>
              <w:bottom w:val="single" w:color="auto" w:sz="4" w:space="0"/>
              <w:right w:val="single" w:color="auto" w:sz="4" w:space="0"/>
            </w:tcBorders>
            <w:shd w:val="clear" w:color="auto" w:fill="auto"/>
            <w:noWrap w:val="0"/>
            <w:vAlign w:val="center"/>
          </w:tcPr>
          <w:p w14:paraId="032D5FDD">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4</w:t>
            </w:r>
          </w:p>
        </w:tc>
        <w:tc>
          <w:tcPr>
            <w:tcW w:w="237" w:type="pct"/>
            <w:tcBorders>
              <w:top w:val="nil"/>
              <w:left w:val="nil"/>
              <w:bottom w:val="single" w:color="auto" w:sz="4" w:space="0"/>
              <w:right w:val="nil"/>
            </w:tcBorders>
            <w:shd w:val="clear" w:color="auto" w:fill="auto"/>
            <w:noWrap w:val="0"/>
            <w:vAlign w:val="center"/>
          </w:tcPr>
          <w:p w14:paraId="4EF63EAD">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4</w:t>
            </w:r>
            <w:r>
              <w:rPr>
                <w:rFonts w:hint="eastAsia" w:ascii="宋体" w:hAnsi="宋体" w:cs="宋体"/>
                <w:color w:val="000000"/>
                <w:kern w:val="0"/>
                <w:sz w:val="20"/>
                <w:szCs w:val="20"/>
                <w:highlight w:val="none"/>
              </w:rPr>
              <w:t>　</w:t>
            </w:r>
          </w:p>
        </w:tc>
        <w:tc>
          <w:tcPr>
            <w:tcW w:w="1045" w:type="pct"/>
            <w:tcBorders>
              <w:top w:val="nil"/>
              <w:left w:val="single" w:color="auto" w:sz="4" w:space="0"/>
              <w:bottom w:val="single" w:color="auto" w:sz="4" w:space="0"/>
              <w:right w:val="single" w:color="auto" w:sz="4" w:space="0"/>
            </w:tcBorders>
            <w:shd w:val="clear" w:color="auto" w:fill="auto"/>
            <w:noWrap w:val="0"/>
            <w:vAlign w:val="center"/>
          </w:tcPr>
          <w:p w14:paraId="674B8F83">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通过年度部门决算与年初部门预算对比，对部门的年度支出情况进行考核，衡量部门预算的约束力。</w:t>
            </w:r>
          </w:p>
        </w:tc>
        <w:tc>
          <w:tcPr>
            <w:tcW w:w="1317" w:type="pct"/>
            <w:tcBorders>
              <w:top w:val="nil"/>
              <w:left w:val="nil"/>
              <w:bottom w:val="single" w:color="auto" w:sz="4" w:space="0"/>
              <w:right w:val="single" w:color="auto" w:sz="4" w:space="0"/>
            </w:tcBorders>
            <w:shd w:val="clear" w:color="auto" w:fill="auto"/>
            <w:noWrap w:val="0"/>
            <w:vAlign w:val="center"/>
          </w:tcPr>
          <w:p w14:paraId="7FC67EA7">
            <w:pPr>
              <w:keepNext w:val="0"/>
              <w:keepLines w:val="0"/>
              <w:pageBreakBefore w:val="0"/>
              <w:widowControl/>
              <w:shd w:val="clear"/>
              <w:kinsoku/>
              <w:wordWrap/>
              <w:overflowPunct/>
              <w:topLinePunct w:val="0"/>
              <w:autoSpaceDE/>
              <w:autoSpaceDN/>
              <w:bidi w:val="0"/>
              <w:adjustRightInd w:val="0"/>
              <w:snapToGrid w:val="0"/>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部门预决算差异率高于</w:t>
            </w:r>
            <w:r>
              <w:rPr>
                <w:rFonts w:hint="eastAsia" w:ascii="宋体" w:hAnsi="宋体" w:cs="宋体"/>
                <w:color w:val="000000"/>
                <w:kern w:val="0"/>
                <w:sz w:val="18"/>
                <w:szCs w:val="18"/>
                <w:highlight w:val="none"/>
                <w:lang w:val="en-US" w:eastAsia="zh-CN"/>
              </w:rPr>
              <w:t>30</w:t>
            </w:r>
            <w:r>
              <w:rPr>
                <w:rFonts w:hint="eastAsia" w:ascii="宋体" w:hAnsi="宋体" w:cs="宋体"/>
                <w:color w:val="000000"/>
                <w:kern w:val="0"/>
                <w:sz w:val="18"/>
                <w:szCs w:val="18"/>
                <w:highlight w:val="none"/>
              </w:rPr>
              <w:t>%的，每高出10%（含），扣0.4分，扣完为止。</w:t>
            </w:r>
            <w:r>
              <w:rPr>
                <w:rFonts w:hint="eastAsia" w:ascii="宋体" w:hAnsi="宋体" w:cs="宋体"/>
                <w:color w:val="000000"/>
                <w:kern w:val="0"/>
                <w:sz w:val="18"/>
                <w:szCs w:val="18"/>
                <w:highlight w:val="none"/>
                <w:lang w:eastAsia="zh-CN"/>
              </w:rPr>
              <w:t>（说明：（如非预算部门主观因素导致扣分的，经相关预算主管科室同意，可作为例外情况酌情考虑。）</w:t>
            </w:r>
          </w:p>
        </w:tc>
      </w:tr>
      <w:tr w14:paraId="2A97C012">
        <w:tblPrEx>
          <w:tblCellMar>
            <w:top w:w="0" w:type="dxa"/>
            <w:left w:w="108" w:type="dxa"/>
            <w:bottom w:w="0" w:type="dxa"/>
            <w:right w:w="108" w:type="dxa"/>
          </w:tblCellMar>
        </w:tblPrEx>
        <w:trPr>
          <w:cantSplit/>
          <w:trHeight w:val="154" w:hRule="atLeast"/>
        </w:trPr>
        <w:tc>
          <w:tcPr>
            <w:tcW w:w="2163" w:type="pct"/>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725F41F8">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合计</w:t>
            </w:r>
          </w:p>
        </w:tc>
        <w:tc>
          <w:tcPr>
            <w:tcW w:w="237" w:type="pct"/>
            <w:tcBorders>
              <w:top w:val="nil"/>
              <w:left w:val="nil"/>
              <w:bottom w:val="single" w:color="auto" w:sz="4" w:space="0"/>
              <w:right w:val="single" w:color="auto" w:sz="4" w:space="0"/>
            </w:tcBorders>
            <w:shd w:val="clear" w:color="auto" w:fill="auto"/>
            <w:noWrap w:val="0"/>
            <w:vAlign w:val="center"/>
          </w:tcPr>
          <w:p w14:paraId="0F2F6441">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20"/>
                <w:szCs w:val="20"/>
                <w:highlight w:val="none"/>
              </w:rPr>
            </w:pPr>
            <w:r>
              <w:rPr>
                <w:rFonts w:hint="eastAsia" w:ascii="宋体" w:hAnsi="宋体" w:cs="宋体"/>
                <w:color w:val="000000"/>
                <w:kern w:val="0"/>
                <w:sz w:val="20"/>
                <w:szCs w:val="20"/>
                <w:highlight w:val="none"/>
              </w:rPr>
              <w:t>100</w:t>
            </w:r>
          </w:p>
        </w:tc>
        <w:tc>
          <w:tcPr>
            <w:tcW w:w="237" w:type="pct"/>
            <w:tcBorders>
              <w:top w:val="nil"/>
              <w:left w:val="nil"/>
              <w:bottom w:val="single" w:color="auto" w:sz="4" w:space="0"/>
              <w:right w:val="nil"/>
            </w:tcBorders>
            <w:shd w:val="clear" w:color="auto" w:fill="auto"/>
            <w:noWrap w:val="0"/>
            <w:vAlign w:val="center"/>
          </w:tcPr>
          <w:p w14:paraId="272721E7">
            <w:pPr>
              <w:keepNext w:val="0"/>
              <w:keepLines w:val="0"/>
              <w:pageBreakBefore w:val="0"/>
              <w:widowControl/>
              <w:shd w:val="clear"/>
              <w:kinsoku/>
              <w:wordWrap/>
              <w:overflowPunct/>
              <w:topLinePunct w:val="0"/>
              <w:autoSpaceDE/>
              <w:autoSpaceDN/>
              <w:bidi w:val="0"/>
              <w:adjustRightInd w:val="0"/>
              <w:snapToGrid w:val="0"/>
              <w:jc w:val="both"/>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rPr>
              <w:t>　</w:t>
            </w:r>
            <w:r>
              <w:rPr>
                <w:rFonts w:hint="eastAsia" w:ascii="宋体" w:hAnsi="宋体" w:cs="宋体"/>
                <w:color w:val="000000"/>
                <w:kern w:val="0"/>
                <w:sz w:val="20"/>
                <w:szCs w:val="20"/>
                <w:highlight w:val="none"/>
                <w:lang w:val="en-US" w:eastAsia="zh-CN"/>
              </w:rPr>
              <w:t>99</w:t>
            </w:r>
          </w:p>
        </w:tc>
        <w:tc>
          <w:tcPr>
            <w:tcW w:w="2362" w:type="pct"/>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14:paraId="65115D07">
            <w:pPr>
              <w:keepNext w:val="0"/>
              <w:keepLines w:val="0"/>
              <w:pageBreakBefore w:val="0"/>
              <w:widowControl/>
              <w:shd w:val="clear"/>
              <w:kinsoku/>
              <w:wordWrap/>
              <w:overflowPunct/>
              <w:topLinePunct w:val="0"/>
              <w:autoSpaceDE/>
              <w:autoSpaceDN/>
              <w:bidi w:val="0"/>
              <w:adjustRightInd w:val="0"/>
              <w:snapToGrid w:val="0"/>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14:paraId="1F5767C7">
      <w:pPr>
        <w:shd w:val="clear"/>
        <w:spacing w:line="600" w:lineRule="exact"/>
        <w:outlineLvl w:val="9"/>
        <w:rPr>
          <w:rFonts w:hint="eastAsia" w:ascii="黑体" w:hAnsi="黑体" w:eastAsia="黑体" w:cs="宋体"/>
          <w:color w:val="000000"/>
          <w:kern w:val="0"/>
          <w:sz w:val="32"/>
          <w:szCs w:val="32"/>
          <w:highlight w:val="none"/>
        </w:rPr>
        <w:sectPr>
          <w:pgSz w:w="16838" w:h="11906" w:orient="landscape"/>
          <w:pgMar w:top="1531" w:right="2098" w:bottom="1531" w:left="1984" w:header="851" w:footer="1418" w:gutter="0"/>
          <w:cols w:space="720" w:num="1"/>
          <w:docGrid w:type="lines" w:linePitch="435" w:charSpace="0"/>
        </w:sectPr>
      </w:pPr>
    </w:p>
    <w:p w14:paraId="388730CA">
      <w:pPr>
        <w:widowControl/>
        <w:spacing w:line="560" w:lineRule="exact"/>
        <w:rPr>
          <w:rFonts w:hint="eastAsia" w:ascii="黑体" w:hAnsi="黑体" w:eastAsia="黑体"/>
          <w:sz w:val="32"/>
          <w:szCs w:val="32"/>
        </w:rPr>
      </w:pPr>
      <w:r>
        <w:rPr>
          <w:rFonts w:hint="eastAsia" w:ascii="黑体" w:hAnsi="黑体" w:eastAsia="黑体"/>
          <w:sz w:val="32"/>
          <w:szCs w:val="32"/>
        </w:rPr>
        <w:t>附件6-2：</w:t>
      </w:r>
    </w:p>
    <w:p w14:paraId="37FE607B">
      <w:pPr>
        <w:jc w:val="center"/>
        <w:outlineLvl w:val="0"/>
        <w:rPr>
          <w:rFonts w:hint="eastAsia" w:ascii="方正小标宋简体" w:hAnsi="黑体" w:eastAsia="方正小标宋简体"/>
          <w:sz w:val="36"/>
          <w:szCs w:val="36"/>
        </w:rPr>
      </w:pPr>
      <w:bookmarkStart w:id="47" w:name="_Toc832442606"/>
      <w:r>
        <w:rPr>
          <w:rFonts w:hint="eastAsia" w:ascii="方正小标宋简体" w:hAnsi="黑体" w:eastAsia="方正小标宋简体"/>
          <w:sz w:val="36"/>
          <w:szCs w:val="36"/>
        </w:rPr>
        <w:t>北京市十一学校双新示范校背景下学校深化改革</w:t>
      </w:r>
      <w:r>
        <w:rPr>
          <w:rFonts w:hint="eastAsia" w:ascii="方正小标宋简体" w:hAnsi="黑体" w:eastAsia="方正小标宋简体"/>
          <w:sz w:val="36"/>
          <w:szCs w:val="36"/>
        </w:rPr>
        <w:br w:type="textWrapping"/>
      </w:r>
      <w:r>
        <w:rPr>
          <w:rFonts w:hint="eastAsia" w:ascii="方正小标宋简体" w:hAnsi="黑体" w:eastAsia="方正小标宋简体"/>
          <w:sz w:val="36"/>
          <w:szCs w:val="36"/>
        </w:rPr>
        <w:t>的实践探索项目绩效自评报告</w:t>
      </w:r>
      <w:bookmarkEnd w:id="47"/>
    </w:p>
    <w:p w14:paraId="0606A586">
      <w:pPr>
        <w:widowControl/>
        <w:spacing w:line="560" w:lineRule="exact"/>
        <w:jc w:val="center"/>
        <w:outlineLvl w:val="0"/>
        <w:rPr>
          <w:rFonts w:hint="default" w:ascii="方正小标宋简体" w:hAnsi="黑体" w:eastAsia="方正小标宋简体"/>
          <w:sz w:val="36"/>
          <w:szCs w:val="36"/>
          <w:lang w:val="en-US" w:eastAsia="zh-CN"/>
        </w:rPr>
      </w:pPr>
      <w:bookmarkStart w:id="48" w:name="_Toc6918837"/>
      <w:r>
        <w:rPr>
          <w:rFonts w:hint="eastAsia" w:ascii="楷体" w:hAnsi="楷体" w:eastAsia="楷体" w:cs="楷体"/>
          <w:sz w:val="36"/>
          <w:szCs w:val="36"/>
          <w:lang w:eastAsia="zh-CN"/>
        </w:rPr>
        <w:t>（</w:t>
      </w:r>
      <w:r>
        <w:rPr>
          <w:rFonts w:hint="eastAsia" w:ascii="楷体" w:hAnsi="楷体" w:eastAsia="楷体" w:cs="楷体"/>
          <w:sz w:val="36"/>
          <w:szCs w:val="36"/>
          <w:lang w:val="en-US" w:eastAsia="zh-CN"/>
        </w:rPr>
        <w:t>项目编号:37648)</w:t>
      </w:r>
      <w:bookmarkEnd w:id="48"/>
    </w:p>
    <w:p w14:paraId="221737BA">
      <w:pPr>
        <w:adjustRightInd w:val="0"/>
        <w:snapToGrid w:val="0"/>
        <w:spacing w:line="360" w:lineRule="auto"/>
        <w:ind w:firstLine="640" w:firstLineChars="200"/>
        <w:rPr>
          <w:rFonts w:ascii="仿宋_GB2312" w:hAnsi="Arial" w:eastAsia="仿宋_GB2312" w:cs="Arial"/>
          <w:bCs/>
          <w:sz w:val="32"/>
          <w:szCs w:val="32"/>
        </w:rPr>
      </w:pPr>
    </w:p>
    <w:p w14:paraId="23030A4D">
      <w:pPr>
        <w:adjustRightInd w:val="0"/>
        <w:snapToGrid w:val="0"/>
        <w:spacing w:line="360" w:lineRule="auto"/>
        <w:ind w:firstLine="640" w:firstLineChars="200"/>
        <w:jc w:val="both"/>
        <w:rPr>
          <w:rFonts w:ascii="仿宋_GB2312" w:hAnsi="Arial" w:eastAsia="仿宋_GB2312" w:cs="Arial"/>
          <w:bCs/>
          <w:sz w:val="32"/>
          <w:szCs w:val="32"/>
          <w:highlight w:val="none"/>
        </w:rPr>
      </w:pPr>
      <w:r>
        <w:rPr>
          <w:rFonts w:hint="eastAsia" w:ascii="仿宋_GB2312" w:hAnsi="Arial" w:eastAsia="仿宋_GB2312" w:cs="Arial"/>
          <w:bCs/>
          <w:sz w:val="32"/>
          <w:szCs w:val="32"/>
          <w:highlight w:val="none"/>
        </w:rPr>
        <w:t>为提高财政资金使用效益，根据《北京市海淀区预算绩效管理办法》（海财绩〔2020〕678号）、《北京市海淀区项目支出绩效评价管理办法》（海财绩〔2021〕367号）等相关文件要求，我单位于</w:t>
      </w:r>
      <w:r>
        <w:rPr>
          <w:rFonts w:hint="eastAsia" w:ascii="仿宋_GB2312" w:hAnsi="Arial" w:eastAsia="仿宋_GB2312" w:cs="Arial"/>
          <w:bCs/>
          <w:sz w:val="32"/>
          <w:szCs w:val="32"/>
          <w:highlight w:val="none"/>
          <w:lang w:val="en-US" w:eastAsia="zh-CN"/>
        </w:rPr>
        <w:t>2025</w:t>
      </w:r>
      <w:r>
        <w:rPr>
          <w:rFonts w:hint="eastAsia" w:ascii="仿宋_GB2312" w:hAnsi="Arial" w:eastAsia="仿宋_GB2312" w:cs="Arial"/>
          <w:bCs/>
          <w:sz w:val="32"/>
          <w:szCs w:val="32"/>
          <w:highlight w:val="none"/>
        </w:rPr>
        <w:t>年</w:t>
      </w:r>
      <w:r>
        <w:rPr>
          <w:rFonts w:hint="eastAsia" w:ascii="仿宋_GB2312" w:hAnsi="Arial" w:eastAsia="仿宋_GB2312" w:cs="Arial"/>
          <w:bCs/>
          <w:sz w:val="32"/>
          <w:szCs w:val="32"/>
          <w:highlight w:val="none"/>
          <w:lang w:val="en-US" w:eastAsia="zh-CN"/>
        </w:rPr>
        <w:t>6</w:t>
      </w:r>
      <w:r>
        <w:rPr>
          <w:rFonts w:hint="eastAsia" w:ascii="仿宋_GB2312" w:hAnsi="Arial" w:eastAsia="仿宋_GB2312" w:cs="Arial"/>
          <w:bCs/>
          <w:sz w:val="32"/>
          <w:szCs w:val="32"/>
          <w:highlight w:val="none"/>
        </w:rPr>
        <w:t>月，对“双新示范校背景下学校深化改革的实践探索”项目开展了绩效自评。该项目自评结果为</w:t>
      </w:r>
      <w:r>
        <w:rPr>
          <w:rFonts w:hint="eastAsia" w:ascii="仿宋_GB2312" w:hAnsi="Arial" w:eastAsia="仿宋_GB2312" w:cs="Arial"/>
          <w:bCs/>
          <w:sz w:val="32"/>
          <w:szCs w:val="32"/>
          <w:highlight w:val="none"/>
          <w:lang w:val="en-US" w:eastAsia="zh-CN"/>
        </w:rPr>
        <w:t>93.50</w:t>
      </w:r>
      <w:r>
        <w:rPr>
          <w:rFonts w:hint="eastAsia" w:ascii="仿宋_GB2312" w:hAnsi="Arial" w:eastAsia="仿宋_GB2312" w:cs="Arial"/>
          <w:bCs/>
          <w:sz w:val="32"/>
          <w:szCs w:val="32"/>
          <w:highlight w:val="none"/>
        </w:rPr>
        <w:t>分。有关情况如下。</w:t>
      </w:r>
    </w:p>
    <w:p w14:paraId="50F139CC">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0"/>
        <w:rPr>
          <w:rFonts w:ascii="黑体" w:hAnsi="黑体" w:eastAsia="黑体"/>
          <w:sz w:val="32"/>
          <w:szCs w:val="32"/>
        </w:rPr>
      </w:pPr>
      <w:bookmarkStart w:id="49" w:name="_Toc320776521"/>
      <w:r>
        <w:rPr>
          <w:rFonts w:hint="eastAsia" w:ascii="黑体" w:hAnsi="黑体" w:eastAsia="黑体"/>
          <w:sz w:val="32"/>
          <w:szCs w:val="32"/>
        </w:rPr>
        <w:t>一、基本情况</w:t>
      </w:r>
      <w:bookmarkEnd w:id="49"/>
    </w:p>
    <w:p w14:paraId="3F76EC3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ascii="仿宋_GB2312" w:hAnsi="宋体" w:eastAsia="仿宋_GB2312" w:cs="宋体"/>
          <w:iCs/>
          <w:color w:val="000000"/>
          <w:kern w:val="0"/>
          <w:sz w:val="32"/>
          <w:szCs w:val="32"/>
        </w:rPr>
      </w:pPr>
      <w:bookmarkStart w:id="50" w:name="_Toc1107034477"/>
      <w:r>
        <w:rPr>
          <w:rFonts w:hint="eastAsia" w:ascii="楷体_GB2312" w:hAnsi="Arial" w:eastAsia="楷体_GB2312" w:cs="Arial"/>
          <w:bCs/>
          <w:sz w:val="32"/>
          <w:szCs w:val="32"/>
        </w:rPr>
        <w:t>（一）项目背景</w:t>
      </w:r>
      <w:bookmarkEnd w:id="50"/>
    </w:p>
    <w:p w14:paraId="509CD9D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2"/>
        <w:rPr>
          <w:rFonts w:hint="eastAsia" w:ascii="仿宋_GB2312" w:hAnsi="Arial" w:eastAsia="仿宋_GB2312" w:cs="Arial"/>
          <w:bCs/>
          <w:sz w:val="32"/>
          <w:szCs w:val="32"/>
        </w:rPr>
      </w:pPr>
      <w:bookmarkStart w:id="51" w:name="_Toc130137331"/>
      <w:r>
        <w:rPr>
          <w:rFonts w:hint="eastAsia" w:ascii="仿宋_GB2312" w:hAnsi="Arial" w:eastAsia="仿宋_GB2312" w:cs="Arial"/>
          <w:bCs/>
          <w:sz w:val="32"/>
          <w:szCs w:val="32"/>
        </w:rPr>
        <w:t>1.项目立项依据</w:t>
      </w:r>
      <w:bookmarkEnd w:id="51"/>
    </w:p>
    <w:p w14:paraId="4AFE9D2C">
      <w:pPr>
        <w:adjustRightInd w:val="0"/>
        <w:snapToGrid w:val="0"/>
        <w:spacing w:line="360" w:lineRule="auto"/>
        <w:ind w:firstLine="640" w:firstLineChars="200"/>
        <w:rPr>
          <w:rFonts w:hint="eastAsia" w:ascii="仿宋_GB2312" w:hAnsi="Arial" w:eastAsia="仿宋_GB2312" w:cs="Arial"/>
          <w:bCs/>
          <w:sz w:val="32"/>
          <w:szCs w:val="32"/>
        </w:rPr>
      </w:pPr>
      <w:r>
        <w:rPr>
          <w:rFonts w:hint="eastAsia" w:ascii="仿宋_GB2312" w:hAnsi="Arial" w:eastAsia="仿宋_GB2312" w:cs="Arial"/>
          <w:bCs/>
          <w:sz w:val="32"/>
          <w:szCs w:val="32"/>
        </w:rPr>
        <w:t>2020年4月，为落实《国务院办公厅关于新时代推进普通高中育人方式改革的指导意见》（国办发〔2019〕29号）文件精神，教育部办公厅在全国遴选了一批普通高中新课程新教材实施国家级示范区和示范校，北京市十一学校凭借基础教育领域长期积累的改革经验与卓越实践成果，成功入选首批普通高中新课程新教材实施国家级示范校。</w:t>
      </w:r>
    </w:p>
    <w:p w14:paraId="164FCF2B">
      <w:pPr>
        <w:adjustRightInd w:val="0"/>
        <w:snapToGrid w:val="0"/>
        <w:spacing w:line="360" w:lineRule="auto"/>
        <w:ind w:firstLine="640" w:firstLineChars="200"/>
        <w:rPr>
          <w:rFonts w:hint="eastAsia" w:ascii="仿宋_GB2312" w:hAnsi="Arial" w:eastAsia="仿宋_GB2312" w:cs="Arial"/>
          <w:bCs/>
          <w:sz w:val="32"/>
          <w:szCs w:val="32"/>
        </w:rPr>
      </w:pPr>
      <w:r>
        <w:rPr>
          <w:rFonts w:hint="eastAsia" w:ascii="仿宋_GB2312" w:hAnsi="Arial" w:eastAsia="仿宋_GB2312" w:cs="Arial"/>
          <w:bCs/>
          <w:sz w:val="32"/>
          <w:szCs w:val="32"/>
        </w:rPr>
        <w:t>自2020年起，</w:t>
      </w:r>
      <w:r>
        <w:rPr>
          <w:rFonts w:hint="eastAsia" w:ascii="仿宋_GB2312" w:hAnsi="Arial" w:eastAsia="仿宋_GB2312" w:cs="Arial"/>
          <w:bCs/>
          <w:sz w:val="32"/>
          <w:szCs w:val="32"/>
          <w:lang w:val="en-US" w:eastAsia="zh-CN"/>
        </w:rPr>
        <w:t>我</w:t>
      </w:r>
      <w:r>
        <w:rPr>
          <w:rFonts w:hint="eastAsia" w:ascii="仿宋_GB2312" w:hAnsi="Arial" w:eastAsia="仿宋_GB2312" w:cs="Arial"/>
          <w:bCs/>
          <w:sz w:val="32"/>
          <w:szCs w:val="32"/>
        </w:rPr>
        <w:t>校依据《普通高中新课程新教材实施国家级示范校建设工作三年规划》，有序推进三年工作任务。通过组建专业项目管理团队，完善组织机构与制度建设，全面梳理基础工作，聚焦示范校重点内容，组织全体教师培训，加强校本教研传承与创新。通过开展六项实验任务，推动新课程新教材落地实施，推动深化普通高中课程改革，发挥积极的示范引领作用。</w:t>
      </w:r>
    </w:p>
    <w:p w14:paraId="4A53AF0A">
      <w:pPr>
        <w:adjustRightInd w:val="0"/>
        <w:snapToGrid w:val="0"/>
        <w:spacing w:line="360" w:lineRule="auto"/>
        <w:ind w:firstLine="640" w:firstLineChars="200"/>
        <w:rPr>
          <w:rFonts w:hint="eastAsia" w:ascii="仿宋_GB2312" w:hAnsi="Arial" w:eastAsia="仿宋_GB2312" w:cs="Arial"/>
          <w:bCs/>
          <w:sz w:val="32"/>
          <w:szCs w:val="32"/>
        </w:rPr>
      </w:pPr>
      <w:r>
        <w:rPr>
          <w:rFonts w:hint="eastAsia" w:ascii="仿宋_GB2312" w:hAnsi="Arial" w:eastAsia="仿宋_GB2312" w:cs="Arial"/>
          <w:bCs/>
          <w:sz w:val="32"/>
          <w:szCs w:val="32"/>
        </w:rPr>
        <w:t>2024年，</w:t>
      </w:r>
      <w:r>
        <w:rPr>
          <w:rFonts w:hint="eastAsia" w:ascii="仿宋_GB2312" w:hAnsi="Arial" w:eastAsia="仿宋_GB2312" w:cs="Arial"/>
          <w:bCs/>
          <w:sz w:val="32"/>
          <w:szCs w:val="32"/>
          <w:lang w:val="en-US" w:eastAsia="zh-CN"/>
        </w:rPr>
        <w:t>我</w:t>
      </w:r>
      <w:r>
        <w:rPr>
          <w:rFonts w:hint="eastAsia" w:ascii="仿宋_GB2312" w:hAnsi="Arial" w:eastAsia="仿宋_GB2312" w:cs="Arial"/>
          <w:bCs/>
          <w:sz w:val="32"/>
          <w:szCs w:val="32"/>
        </w:rPr>
        <w:t>校在三年示范成果总结</w:t>
      </w:r>
      <w:r>
        <w:rPr>
          <w:rFonts w:hint="eastAsia" w:ascii="仿宋_GB2312" w:hAnsi="Arial" w:eastAsia="仿宋_GB2312" w:cs="Arial"/>
          <w:bCs/>
          <w:sz w:val="32"/>
          <w:szCs w:val="32"/>
          <w:lang w:val="en-US" w:eastAsia="zh-CN"/>
        </w:rPr>
        <w:t>的</w:t>
      </w:r>
      <w:r>
        <w:rPr>
          <w:rFonts w:hint="eastAsia" w:ascii="仿宋_GB2312" w:hAnsi="Arial" w:eastAsia="仿宋_GB2312" w:cs="Arial"/>
          <w:bCs/>
          <w:sz w:val="32"/>
          <w:szCs w:val="32"/>
        </w:rPr>
        <w:t>基础上，研究确定以课程资源库建设、特色课程群打造、拔尖创新人才培养课程体系探索、从教向学实践研究等为重点任务的项目实施方案。</w:t>
      </w:r>
      <w:r>
        <w:rPr>
          <w:rFonts w:hint="eastAsia" w:ascii="仿宋_GB2312" w:hAnsi="Arial" w:eastAsia="仿宋_GB2312" w:cs="Arial"/>
          <w:bCs/>
          <w:sz w:val="32"/>
          <w:szCs w:val="32"/>
          <w:lang w:val="en-US" w:eastAsia="zh-CN"/>
        </w:rPr>
        <w:t>本</w:t>
      </w:r>
      <w:r>
        <w:rPr>
          <w:rFonts w:hint="eastAsia" w:ascii="仿宋_GB2312" w:hAnsi="Arial" w:eastAsia="仿宋_GB2312" w:cs="Arial"/>
          <w:bCs/>
          <w:sz w:val="32"/>
          <w:szCs w:val="32"/>
        </w:rPr>
        <w:t>项目由</w:t>
      </w:r>
      <w:r>
        <w:rPr>
          <w:rFonts w:hint="eastAsia" w:ascii="仿宋_GB2312" w:hAnsi="Arial" w:eastAsia="仿宋_GB2312" w:cs="Arial"/>
          <w:bCs/>
          <w:sz w:val="32"/>
          <w:szCs w:val="32"/>
          <w:lang w:val="en-US" w:eastAsia="zh-CN"/>
        </w:rPr>
        <w:t>我校</w:t>
      </w:r>
      <w:r>
        <w:rPr>
          <w:rFonts w:hint="eastAsia" w:ascii="仿宋_GB2312" w:hAnsi="Arial" w:eastAsia="仿宋_GB2312" w:cs="Arial"/>
          <w:bCs/>
          <w:sz w:val="32"/>
          <w:szCs w:val="32"/>
        </w:rPr>
        <w:t>课程与教学研究院牵头申报，负责方案编制与材料准备。</w:t>
      </w:r>
      <w:r>
        <w:rPr>
          <w:rFonts w:hint="eastAsia" w:ascii="仿宋_GB2312" w:hAnsi="Arial" w:eastAsia="仿宋_GB2312" w:cs="Arial"/>
          <w:bCs/>
          <w:sz w:val="32"/>
          <w:szCs w:val="32"/>
          <w:lang w:val="en-US" w:eastAsia="zh-CN"/>
        </w:rPr>
        <w:t>本项目按海淀区教委的统一要求，</w:t>
      </w:r>
      <w:r>
        <w:rPr>
          <w:rFonts w:hint="eastAsia" w:ascii="仿宋_GB2312" w:hAnsi="Arial" w:eastAsia="仿宋_GB2312" w:cs="Arial"/>
          <w:bCs/>
          <w:sz w:val="32"/>
          <w:szCs w:val="32"/>
        </w:rPr>
        <w:t>通过“北京市海淀区教育委员会区校互联绩效管理平台”提交</w:t>
      </w:r>
      <w:r>
        <w:rPr>
          <w:rFonts w:hint="eastAsia" w:ascii="仿宋_GB2312" w:hAnsi="Arial" w:eastAsia="仿宋_GB2312" w:cs="Arial"/>
          <w:bCs/>
          <w:sz w:val="32"/>
          <w:szCs w:val="32"/>
          <w:lang w:val="en-US" w:eastAsia="zh-CN"/>
        </w:rPr>
        <w:t>项目</w:t>
      </w:r>
      <w:r>
        <w:rPr>
          <w:rFonts w:hint="eastAsia" w:ascii="仿宋_GB2312" w:hAnsi="Arial" w:eastAsia="仿宋_GB2312" w:cs="Arial"/>
          <w:bCs/>
          <w:sz w:val="32"/>
          <w:szCs w:val="32"/>
        </w:rPr>
        <w:t>申报材料，</w:t>
      </w:r>
      <w:r>
        <w:rPr>
          <w:rFonts w:hint="eastAsia" w:ascii="仿宋_GB2312" w:hAnsi="Arial" w:eastAsia="仿宋_GB2312" w:cs="Arial"/>
          <w:bCs/>
          <w:sz w:val="32"/>
          <w:szCs w:val="32"/>
          <w:lang w:val="en-US" w:eastAsia="zh-CN"/>
        </w:rPr>
        <w:t>经</w:t>
      </w:r>
      <w:r>
        <w:rPr>
          <w:rFonts w:hint="eastAsia" w:ascii="仿宋_GB2312" w:hAnsi="Arial" w:eastAsia="仿宋_GB2312" w:cs="Arial"/>
          <w:bCs/>
          <w:sz w:val="32"/>
          <w:szCs w:val="32"/>
        </w:rPr>
        <w:t>论证通过后</w:t>
      </w:r>
      <w:r>
        <w:rPr>
          <w:rFonts w:hint="eastAsia" w:ascii="仿宋_GB2312" w:hAnsi="Arial" w:eastAsia="仿宋_GB2312" w:cs="Arial"/>
          <w:bCs/>
          <w:sz w:val="32"/>
          <w:szCs w:val="32"/>
          <w:lang w:eastAsia="zh-CN"/>
        </w:rPr>
        <w:t>，</w:t>
      </w:r>
      <w:r>
        <w:rPr>
          <w:rFonts w:hint="eastAsia" w:ascii="仿宋_GB2312" w:hAnsi="Arial" w:eastAsia="仿宋_GB2312" w:cs="Arial"/>
          <w:bCs/>
          <w:sz w:val="32"/>
          <w:szCs w:val="32"/>
          <w:lang w:val="en-US" w:eastAsia="zh-CN"/>
        </w:rPr>
        <w:t>正式</w:t>
      </w:r>
      <w:r>
        <w:rPr>
          <w:rFonts w:hint="eastAsia" w:ascii="仿宋_GB2312" w:hAnsi="Arial" w:eastAsia="仿宋_GB2312" w:cs="Arial"/>
          <w:bCs/>
          <w:sz w:val="32"/>
          <w:szCs w:val="32"/>
        </w:rPr>
        <w:t>纳入2024年预算。</w:t>
      </w:r>
    </w:p>
    <w:p w14:paraId="4B2E2C1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2"/>
        <w:rPr>
          <w:rFonts w:hint="eastAsia" w:ascii="仿宋_GB2312" w:hAnsi="Arial" w:eastAsia="仿宋_GB2312" w:cs="Arial"/>
          <w:bCs/>
          <w:sz w:val="32"/>
          <w:szCs w:val="32"/>
          <w:lang w:val="en-US" w:eastAsia="zh-CN"/>
        </w:rPr>
      </w:pPr>
      <w:bookmarkStart w:id="52" w:name="_Toc1079769471"/>
      <w:r>
        <w:rPr>
          <w:rFonts w:hint="eastAsia" w:ascii="仿宋_GB2312" w:hAnsi="Arial" w:eastAsia="仿宋_GB2312" w:cs="Arial"/>
          <w:bCs/>
          <w:sz w:val="32"/>
          <w:szCs w:val="32"/>
          <w:lang w:val="en-US" w:eastAsia="zh-CN"/>
        </w:rPr>
        <w:t>2.项目实施主体</w:t>
      </w:r>
      <w:bookmarkEnd w:id="52"/>
    </w:p>
    <w:p w14:paraId="08062ECF">
      <w:pPr>
        <w:adjustRightInd w:val="0"/>
        <w:snapToGrid w:val="0"/>
        <w:spacing w:line="360" w:lineRule="auto"/>
        <w:ind w:firstLine="640" w:firstLineChars="200"/>
        <w:rPr>
          <w:rFonts w:hint="eastAsia" w:ascii="仿宋_GB2312" w:hAnsi="Arial" w:eastAsia="仿宋_GB2312" w:cs="Arial"/>
          <w:bCs/>
          <w:sz w:val="32"/>
          <w:szCs w:val="32"/>
        </w:rPr>
      </w:pPr>
      <w:r>
        <w:rPr>
          <w:rFonts w:hint="eastAsia" w:ascii="仿宋_GB2312" w:hAnsi="Arial" w:eastAsia="仿宋_GB2312" w:cs="Arial"/>
          <w:bCs/>
          <w:sz w:val="32"/>
          <w:szCs w:val="32"/>
        </w:rPr>
        <w:t>北京市十一学校作为项目实施主体，</w:t>
      </w:r>
      <w:r>
        <w:rPr>
          <w:rFonts w:hint="eastAsia" w:ascii="仿宋_GB2312" w:hAnsi="Arial" w:eastAsia="仿宋_GB2312" w:cs="Arial"/>
          <w:bCs/>
          <w:sz w:val="32"/>
          <w:szCs w:val="32"/>
          <w:lang w:val="en-US" w:eastAsia="zh-CN"/>
        </w:rPr>
        <w:t>统筹</w:t>
      </w:r>
      <w:r>
        <w:rPr>
          <w:rFonts w:hint="eastAsia" w:ascii="仿宋_GB2312" w:hAnsi="Arial" w:eastAsia="仿宋_GB2312" w:cs="Arial"/>
          <w:bCs/>
          <w:sz w:val="32"/>
          <w:szCs w:val="32"/>
        </w:rPr>
        <w:t>校内各方资源</w:t>
      </w:r>
      <w:r>
        <w:rPr>
          <w:rFonts w:hint="eastAsia" w:ascii="仿宋_GB2312" w:hAnsi="Arial" w:eastAsia="仿宋_GB2312" w:cs="Arial"/>
          <w:bCs/>
          <w:sz w:val="32"/>
          <w:szCs w:val="32"/>
          <w:lang w:val="en-US" w:eastAsia="zh-CN"/>
        </w:rPr>
        <w:t>联合开展本项目。我</w:t>
      </w:r>
      <w:r>
        <w:rPr>
          <w:rFonts w:hint="eastAsia" w:ascii="仿宋_GB2312" w:hAnsi="Arial" w:eastAsia="仿宋_GB2312" w:cs="Arial"/>
          <w:bCs/>
          <w:sz w:val="32"/>
          <w:szCs w:val="32"/>
          <w:highlight w:val="none"/>
          <w:lang w:val="en-US" w:eastAsia="zh-CN"/>
        </w:rPr>
        <w:t>校</w:t>
      </w:r>
      <w:r>
        <w:rPr>
          <w:rFonts w:hint="eastAsia" w:ascii="仿宋_GB2312" w:hAnsi="Arial" w:eastAsia="仿宋_GB2312" w:cs="Arial"/>
          <w:bCs/>
          <w:sz w:val="32"/>
          <w:szCs w:val="32"/>
          <w:highlight w:val="none"/>
        </w:rPr>
        <w:t>党组织发</w:t>
      </w:r>
      <w:r>
        <w:rPr>
          <w:rFonts w:hint="eastAsia" w:ascii="仿宋_GB2312" w:hAnsi="Arial" w:eastAsia="仿宋_GB2312" w:cs="Arial"/>
          <w:bCs/>
          <w:sz w:val="32"/>
          <w:szCs w:val="32"/>
        </w:rPr>
        <w:t>挥核心引领作用，确保项目推进符合国家教育方针与育人导向；课程与教学研究院统筹规划，协调各学科组、项目团队开展具体工作；教育家书院则专注于教师培训与专业发展，为项目实施提供坚实的师资保障。全校上下形成了协同合作、高效推进的工作格局。</w:t>
      </w:r>
    </w:p>
    <w:p w14:paraId="1818EAF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_GB2312" w:hAnsi="Arial" w:eastAsia="楷体_GB2312" w:cs="Arial"/>
          <w:bCs/>
          <w:sz w:val="32"/>
          <w:szCs w:val="32"/>
        </w:rPr>
      </w:pPr>
      <w:bookmarkStart w:id="53" w:name="_Toc1448681947"/>
      <w:r>
        <w:rPr>
          <w:rFonts w:hint="eastAsia" w:ascii="楷体_GB2312" w:hAnsi="Arial" w:eastAsia="楷体_GB2312" w:cs="Arial"/>
          <w:bCs/>
          <w:sz w:val="32"/>
          <w:szCs w:val="32"/>
        </w:rPr>
        <w:t>（二）项目主要内容及目标</w:t>
      </w:r>
      <w:bookmarkEnd w:id="53"/>
    </w:p>
    <w:p w14:paraId="3FF33177">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2"/>
        <w:rPr>
          <w:rFonts w:hint="eastAsia" w:ascii="仿宋_GB2312" w:hAnsi="Arial" w:eastAsia="仿宋_GB2312" w:cs="Arial"/>
          <w:bCs/>
          <w:sz w:val="32"/>
          <w:szCs w:val="32"/>
        </w:rPr>
      </w:pPr>
      <w:bookmarkStart w:id="54" w:name="_Toc1975377190"/>
      <w:r>
        <w:rPr>
          <w:rFonts w:hint="eastAsia" w:ascii="仿宋_GB2312" w:hAnsi="Arial" w:eastAsia="仿宋_GB2312" w:cs="Arial"/>
          <w:bCs/>
          <w:sz w:val="32"/>
          <w:szCs w:val="32"/>
        </w:rPr>
        <w:t>1.项目主要内容</w:t>
      </w:r>
      <w:bookmarkEnd w:id="54"/>
    </w:p>
    <w:p w14:paraId="747E9528">
      <w:pPr>
        <w:adjustRightInd w:val="0"/>
        <w:snapToGrid w:val="0"/>
        <w:spacing w:line="360" w:lineRule="auto"/>
        <w:ind w:firstLine="640" w:firstLineChars="200"/>
        <w:jc w:val="both"/>
        <w:rPr>
          <w:rFonts w:hint="eastAsia" w:ascii="仿宋_GB2312" w:hAnsi="Arial" w:eastAsia="仿宋_GB2312" w:cs="Arial"/>
          <w:bCs/>
          <w:sz w:val="32"/>
          <w:szCs w:val="32"/>
        </w:rPr>
      </w:pPr>
      <w:r>
        <w:rPr>
          <w:rFonts w:hint="eastAsia" w:ascii="仿宋_GB2312" w:hAnsi="Arial" w:eastAsia="仿宋_GB2312" w:cs="Arial"/>
          <w:bCs/>
          <w:sz w:val="32"/>
          <w:szCs w:val="32"/>
          <w:lang w:val="en-US" w:eastAsia="zh-CN"/>
        </w:rPr>
        <w:t>2024年度本项目主要内容为：聘请专家评估完善20个课程建设，购买20个课程教师专业提升需要的书籍，集中封闭研讨12天；开展9个学科“课例、作业、命题诊断、学习路径”专项评估4次；全校100个案例征集评选、印刷课例/论文集10本、开展4次帮扶活动、组织1次全国性教育年会等工作，达到完善新课程新教材配套的学习资源；推进“从教走向学”的课堂落实；构建支持学生学习的诊断系统；提高课程育人能力的教研目标，汇编优秀案例进行推广，起到辐射和帮扶带动作用。</w:t>
      </w:r>
    </w:p>
    <w:p w14:paraId="2222E53F">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2"/>
        <w:rPr>
          <w:rFonts w:hint="eastAsia" w:ascii="仿宋_GB2312" w:hAnsi="Arial" w:eastAsia="仿宋_GB2312" w:cs="Arial"/>
          <w:bCs/>
          <w:sz w:val="32"/>
          <w:szCs w:val="32"/>
          <w:lang w:val="en-US" w:eastAsia="zh-CN"/>
        </w:rPr>
      </w:pPr>
      <w:bookmarkStart w:id="55" w:name="_Toc67249710"/>
      <w:r>
        <w:rPr>
          <w:rFonts w:hint="eastAsia" w:ascii="仿宋_GB2312" w:hAnsi="Arial" w:eastAsia="仿宋_GB2312" w:cs="Arial"/>
          <w:bCs/>
          <w:sz w:val="32"/>
          <w:szCs w:val="32"/>
          <w:lang w:val="en-US" w:eastAsia="zh-CN"/>
        </w:rPr>
        <w:t>2.项目绩效目标</w:t>
      </w:r>
      <w:bookmarkEnd w:id="55"/>
    </w:p>
    <w:p w14:paraId="48C8AC76">
      <w:pPr>
        <w:adjustRightInd w:val="0"/>
        <w:snapToGrid w:val="0"/>
        <w:spacing w:line="360" w:lineRule="auto"/>
        <w:ind w:firstLine="640" w:firstLineChars="200"/>
        <w:rPr>
          <w:rFonts w:hint="eastAsia" w:ascii="仿宋_GB2312" w:hAnsi="Arial" w:eastAsia="仿宋_GB2312" w:cs="Arial"/>
          <w:bCs/>
          <w:sz w:val="32"/>
          <w:szCs w:val="32"/>
          <w:lang w:val="en-US" w:eastAsia="zh-CN"/>
        </w:rPr>
      </w:pPr>
      <w:r>
        <w:rPr>
          <w:rFonts w:hint="eastAsia" w:ascii="仿宋_GB2312" w:hAnsi="Arial" w:eastAsia="仿宋_GB2312" w:cs="Arial"/>
          <w:bCs/>
          <w:sz w:val="32"/>
          <w:szCs w:val="32"/>
          <w:lang w:val="en-US" w:eastAsia="zh-CN"/>
        </w:rPr>
        <w:t>本项目目标为：落实《海淀区普通高中新课程新教材实施国家级示范区建设工作三年规划》等文件要求，为全市乃至全国提供“海淀经验”“海淀标准”。聘请专家评估完善20个课程建设，购买20个课程教师专业提升需要的书籍，集中封闭研讨12天；开展9个学科“课例、作业、命题诊断、学习路径”专项评估4次；全校100个案例征集评选、印刷课例/论文集10本、开展4次帮扶活动、组织1次全国性教育年会等工作，达到完善新课程新教材配套的学习资源；推进“从教走向学”的课堂落实；构建支持学生学习的诊断系统；提高课程育人能力的教研目标，汇编优秀案例进行推广，起到辐射和帮扶带动作用。</w:t>
      </w:r>
    </w:p>
    <w:p w14:paraId="19F97E92">
      <w:pPr>
        <w:adjustRightInd w:val="0"/>
        <w:snapToGrid w:val="0"/>
        <w:spacing w:line="360" w:lineRule="auto"/>
        <w:ind w:firstLine="640" w:firstLineChars="200"/>
        <w:rPr>
          <w:rFonts w:hint="eastAsia" w:ascii="仿宋_GB2312" w:hAnsi="Arial" w:eastAsia="仿宋_GB2312" w:cs="Arial"/>
          <w:bCs/>
          <w:sz w:val="32"/>
          <w:szCs w:val="32"/>
          <w:highlight w:val="none"/>
          <w:lang w:val="en-US" w:eastAsia="zh-CN"/>
        </w:rPr>
      </w:pPr>
      <w:r>
        <w:rPr>
          <w:rFonts w:hint="eastAsia" w:ascii="仿宋_GB2312" w:hAnsi="Arial" w:eastAsia="仿宋_GB2312" w:cs="Arial"/>
          <w:bCs/>
          <w:sz w:val="32"/>
          <w:szCs w:val="32"/>
          <w:highlight w:val="none"/>
          <w:lang w:val="en-US" w:eastAsia="zh-CN"/>
        </w:rPr>
        <w:t>2024年度，本项目绩效指标具体如下：</w:t>
      </w:r>
    </w:p>
    <w:p w14:paraId="1B27716F">
      <w:pPr>
        <w:spacing w:line="560" w:lineRule="exact"/>
        <w:jc w:val="center"/>
        <w:rPr>
          <w:rFonts w:hint="eastAsia" w:ascii="仿宋_GB2312" w:hAnsi="Arial" w:eastAsia="仿宋_GB2312" w:cs="Arial"/>
          <w:bCs/>
          <w:sz w:val="32"/>
          <w:szCs w:val="32"/>
          <w:highlight w:val="none"/>
          <w:lang w:val="en-US" w:eastAsia="zh-CN"/>
        </w:rPr>
      </w:pPr>
      <w:r>
        <w:rPr>
          <w:rFonts w:hint="eastAsia" w:ascii="黑体" w:hAnsi="黑体" w:eastAsia="黑体" w:cs="黑体"/>
          <w:bCs/>
          <w:sz w:val="28"/>
          <w:szCs w:val="28"/>
          <w:lang w:val="en-US" w:eastAsia="zh-CN"/>
        </w:rPr>
        <w:t xml:space="preserve">表1 </w:t>
      </w:r>
      <w:r>
        <w:rPr>
          <w:rFonts w:hint="eastAsia" w:ascii="黑体" w:hAnsi="黑体" w:eastAsia="黑体" w:cs="黑体"/>
          <w:bCs/>
          <w:sz w:val="28"/>
          <w:szCs w:val="28"/>
        </w:rPr>
        <w:t>项目</w:t>
      </w:r>
      <w:r>
        <w:rPr>
          <w:rFonts w:hint="eastAsia" w:ascii="黑体" w:hAnsi="黑体" w:eastAsia="黑体" w:cs="黑体"/>
          <w:bCs/>
          <w:sz w:val="28"/>
          <w:szCs w:val="28"/>
          <w:lang w:val="en-US" w:eastAsia="zh-CN"/>
        </w:rPr>
        <w:t>2024年度绩效指标</w:t>
      </w:r>
    </w:p>
    <w:tbl>
      <w:tblPr>
        <w:tblStyle w:val="7"/>
        <w:tblW w:w="856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0"/>
        <w:gridCol w:w="1794"/>
        <w:gridCol w:w="1978"/>
        <w:gridCol w:w="1274"/>
        <w:gridCol w:w="2134"/>
      </w:tblGrid>
      <w:tr w14:paraId="1D97D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blHeader/>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75D5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1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B4D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7F5B">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73B2">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权重(%)</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3A0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指标值</w:t>
            </w:r>
          </w:p>
        </w:tc>
      </w:tr>
      <w:tr w14:paraId="39041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54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5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A1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9F61">
            <w:pPr>
              <w:keepNext w:val="0"/>
              <w:keepLines w:val="0"/>
              <w:widowControl/>
              <w:suppressLineNumbers w:val="0"/>
              <w:jc w:val="center"/>
              <w:textAlignment w:val="center"/>
              <w:rPr>
                <w:rFonts w:hint="eastAsia" w:ascii="宋体" w:hAnsi="宋体" w:eastAsia="宋体" w:cs="宋体"/>
                <w:i w:val="0"/>
                <w:iCs w:val="0"/>
                <w:color w:val="404040"/>
                <w:sz w:val="20"/>
                <w:szCs w:val="20"/>
                <w:u w:val="none"/>
              </w:rPr>
            </w:pPr>
            <w:r>
              <w:rPr>
                <w:rFonts w:hint="eastAsia" w:ascii="宋体" w:hAnsi="宋体" w:eastAsia="宋体" w:cs="宋体"/>
                <w:i w:val="0"/>
                <w:iCs w:val="0"/>
                <w:color w:val="404040"/>
                <w:kern w:val="0"/>
                <w:sz w:val="20"/>
                <w:szCs w:val="20"/>
                <w:u w:val="none"/>
                <w:lang w:val="en-US" w:eastAsia="zh-CN" w:bidi="ar"/>
              </w:rPr>
              <w:t>2</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EB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≤12月份</w:t>
            </w:r>
          </w:p>
        </w:tc>
      </w:tr>
      <w:tr w14:paraId="2E26C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6546F">
            <w:pPr>
              <w:jc w:val="center"/>
              <w:rPr>
                <w:rFonts w:hint="eastAsia" w:ascii="宋体" w:hAnsi="宋体" w:eastAsia="宋体" w:cs="宋体"/>
                <w:i w:val="0"/>
                <w:iCs w:val="0"/>
                <w:color w:val="000000"/>
                <w:sz w:val="20"/>
                <w:szCs w:val="20"/>
                <w:u w:val="none"/>
              </w:rPr>
            </w:pPr>
          </w:p>
        </w:tc>
        <w:tc>
          <w:tcPr>
            <w:tcW w:w="1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B4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2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材料印刷数量</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62CA7">
            <w:pPr>
              <w:keepNext w:val="0"/>
              <w:keepLines w:val="0"/>
              <w:widowControl/>
              <w:suppressLineNumbers w:val="0"/>
              <w:jc w:val="center"/>
              <w:textAlignment w:val="center"/>
              <w:rPr>
                <w:rFonts w:hint="eastAsia" w:ascii="宋体" w:hAnsi="宋体" w:eastAsia="宋体" w:cs="宋体"/>
                <w:i w:val="0"/>
                <w:iCs w:val="0"/>
                <w:color w:val="807070"/>
                <w:sz w:val="20"/>
                <w:szCs w:val="20"/>
                <w:u w:val="none"/>
              </w:rPr>
            </w:pPr>
            <w:r>
              <w:rPr>
                <w:rFonts w:hint="eastAsia" w:ascii="宋体" w:hAnsi="宋体" w:eastAsia="宋体" w:cs="宋体"/>
                <w:i w:val="0"/>
                <w:iCs w:val="0"/>
                <w:color w:val="807070"/>
                <w:kern w:val="0"/>
                <w:sz w:val="20"/>
                <w:szCs w:val="20"/>
                <w:u w:val="none"/>
                <w:lang w:val="en-US" w:eastAsia="zh-CN" w:bidi="ar"/>
              </w:rPr>
              <w:t>8</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6C3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≥1500份</w:t>
            </w:r>
          </w:p>
        </w:tc>
      </w:tr>
      <w:tr w14:paraId="33180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2B7C4">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3627E">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BD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购买课程资源数量</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525E9">
            <w:pPr>
              <w:keepNext w:val="0"/>
              <w:keepLines w:val="0"/>
              <w:widowControl/>
              <w:suppressLineNumbers w:val="0"/>
              <w:jc w:val="center"/>
              <w:textAlignment w:val="center"/>
              <w:rPr>
                <w:rFonts w:hint="eastAsia" w:ascii="宋体" w:hAnsi="宋体" w:eastAsia="宋体" w:cs="宋体"/>
                <w:i w:val="0"/>
                <w:iCs w:val="0"/>
                <w:color w:val="405040"/>
                <w:sz w:val="20"/>
                <w:szCs w:val="20"/>
                <w:u w:val="none"/>
              </w:rPr>
            </w:pPr>
            <w:r>
              <w:rPr>
                <w:rFonts w:hint="eastAsia" w:ascii="宋体" w:hAnsi="宋体" w:eastAsia="宋体" w:cs="宋体"/>
                <w:i w:val="0"/>
                <w:iCs w:val="0"/>
                <w:color w:val="405040"/>
                <w:kern w:val="0"/>
                <w:sz w:val="20"/>
                <w:szCs w:val="20"/>
                <w:u w:val="none"/>
                <w:lang w:val="en-US" w:eastAsia="zh-CN" w:bidi="ar"/>
              </w:rPr>
              <w:t>5</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69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≥20个</w:t>
            </w:r>
          </w:p>
        </w:tc>
      </w:tr>
      <w:tr w14:paraId="1F2B5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05180">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CE27C">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E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开展会议次数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2A53">
            <w:pPr>
              <w:keepNext w:val="0"/>
              <w:keepLines w:val="0"/>
              <w:widowControl/>
              <w:suppressLineNumbers w:val="0"/>
              <w:jc w:val="center"/>
              <w:textAlignment w:val="center"/>
              <w:rPr>
                <w:rFonts w:hint="eastAsia" w:ascii="宋体" w:hAnsi="宋体" w:eastAsia="宋体" w:cs="宋体"/>
                <w:i w:val="0"/>
                <w:iCs w:val="0"/>
                <w:color w:val="806060"/>
                <w:sz w:val="20"/>
                <w:szCs w:val="20"/>
                <w:u w:val="none"/>
              </w:rPr>
            </w:pPr>
            <w:r>
              <w:rPr>
                <w:rFonts w:hint="eastAsia" w:ascii="宋体" w:hAnsi="宋体" w:eastAsia="宋体" w:cs="宋体"/>
                <w:i w:val="0"/>
                <w:iCs w:val="0"/>
                <w:color w:val="806060"/>
                <w:kern w:val="0"/>
                <w:sz w:val="20"/>
                <w:szCs w:val="20"/>
                <w:u w:val="none"/>
                <w:lang w:val="en-US" w:eastAsia="zh-CN" w:bidi="ar"/>
              </w:rPr>
              <w:t>4</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57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4A609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BCD8C">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4E75D">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A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开展培训次数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2C0E">
            <w:pPr>
              <w:keepNext w:val="0"/>
              <w:keepLines w:val="0"/>
              <w:widowControl/>
              <w:suppressLineNumbers w:val="0"/>
              <w:jc w:val="center"/>
              <w:textAlignment w:val="center"/>
              <w:rPr>
                <w:rFonts w:hint="eastAsia" w:ascii="宋体" w:hAnsi="宋体" w:eastAsia="宋体" w:cs="宋体"/>
                <w:i w:val="0"/>
                <w:iCs w:val="0"/>
                <w:color w:val="907070"/>
                <w:sz w:val="20"/>
                <w:szCs w:val="20"/>
                <w:u w:val="none"/>
              </w:rPr>
            </w:pPr>
            <w:r>
              <w:rPr>
                <w:rFonts w:hint="eastAsia" w:ascii="宋体" w:hAnsi="宋体" w:eastAsia="宋体" w:cs="宋体"/>
                <w:i w:val="0"/>
                <w:iCs w:val="0"/>
                <w:color w:val="907070"/>
                <w:kern w:val="0"/>
                <w:sz w:val="20"/>
                <w:szCs w:val="20"/>
                <w:u w:val="none"/>
                <w:lang w:val="en-US" w:eastAsia="zh-CN" w:bidi="ar"/>
              </w:rPr>
              <w:t>4</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8B2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0721A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050FC">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33C8F">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5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课程成果推广(对重点项目的区域  层面的推广)</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65D1">
            <w:pPr>
              <w:keepNext w:val="0"/>
              <w:keepLines w:val="0"/>
              <w:widowControl/>
              <w:suppressLineNumbers w:val="0"/>
              <w:jc w:val="center"/>
              <w:textAlignment w:val="center"/>
              <w:rPr>
                <w:rFonts w:hint="eastAsia" w:ascii="宋体" w:hAnsi="宋体" w:eastAsia="宋体" w:cs="宋体"/>
                <w:i w:val="0"/>
                <w:iCs w:val="0"/>
                <w:color w:val="404050"/>
                <w:sz w:val="20"/>
                <w:szCs w:val="20"/>
                <w:u w:val="none"/>
              </w:rPr>
            </w:pPr>
            <w:r>
              <w:rPr>
                <w:rFonts w:hint="eastAsia" w:ascii="宋体" w:hAnsi="宋体" w:eastAsia="宋体" w:cs="宋体"/>
                <w:i w:val="0"/>
                <w:iCs w:val="0"/>
                <w:color w:val="404050"/>
                <w:kern w:val="0"/>
                <w:sz w:val="20"/>
                <w:szCs w:val="20"/>
                <w:u w:val="none"/>
                <w:lang w:val="en-US" w:eastAsia="zh-CN" w:bidi="ar"/>
              </w:rPr>
              <w:t>2</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74D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4DDF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1F961">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F61DE">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4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培养骨干教师/研究型教师数量</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B6EA">
            <w:pPr>
              <w:keepNext w:val="0"/>
              <w:keepLines w:val="0"/>
              <w:widowControl/>
              <w:suppressLineNumbers w:val="0"/>
              <w:jc w:val="center"/>
              <w:textAlignment w:val="center"/>
              <w:rPr>
                <w:rFonts w:hint="eastAsia" w:ascii="宋体" w:hAnsi="宋体" w:eastAsia="宋体" w:cs="宋体"/>
                <w:i w:val="0"/>
                <w:iCs w:val="0"/>
                <w:color w:val="606060"/>
                <w:sz w:val="20"/>
                <w:szCs w:val="20"/>
                <w:u w:val="none"/>
              </w:rPr>
            </w:pPr>
            <w:r>
              <w:rPr>
                <w:rFonts w:hint="eastAsia" w:ascii="宋体" w:hAnsi="宋体" w:eastAsia="宋体" w:cs="宋体"/>
                <w:i w:val="0"/>
                <w:iCs w:val="0"/>
                <w:color w:val="606060"/>
                <w:kern w:val="0"/>
                <w:sz w:val="20"/>
                <w:szCs w:val="20"/>
                <w:u w:val="none"/>
                <w:lang w:val="en-US" w:eastAsia="zh-CN" w:bidi="ar"/>
              </w:rPr>
              <w:t>8</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F8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≥100名</w:t>
            </w:r>
          </w:p>
        </w:tc>
      </w:tr>
      <w:tr w14:paraId="6D7A8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5A6BA">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5CA2A">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775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校本课程开发数量</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2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C5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≥5门</w:t>
            </w:r>
          </w:p>
        </w:tc>
      </w:tr>
      <w:tr w14:paraId="0BE36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9C91F">
            <w:pPr>
              <w:jc w:val="center"/>
              <w:rPr>
                <w:rFonts w:hint="eastAsia" w:ascii="宋体" w:hAnsi="宋体" w:eastAsia="宋体" w:cs="宋体"/>
                <w:i w:val="0"/>
                <w:iCs w:val="0"/>
                <w:color w:val="000000"/>
                <w:sz w:val="20"/>
                <w:szCs w:val="20"/>
                <w:u w:val="none"/>
              </w:rPr>
            </w:pPr>
          </w:p>
        </w:tc>
        <w:tc>
          <w:tcPr>
            <w:tcW w:w="1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95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C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验收合格率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2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B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17E09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478F4">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DB490">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1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资金使用符合要求</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3238">
            <w:pPr>
              <w:keepNext w:val="0"/>
              <w:keepLines w:val="0"/>
              <w:widowControl/>
              <w:suppressLineNumbers w:val="0"/>
              <w:jc w:val="center"/>
              <w:textAlignment w:val="center"/>
              <w:rPr>
                <w:rFonts w:hint="eastAsia" w:ascii="宋体" w:hAnsi="宋体" w:eastAsia="宋体" w:cs="宋体"/>
                <w:i w:val="0"/>
                <w:iCs w:val="0"/>
                <w:color w:val="606050"/>
                <w:sz w:val="20"/>
                <w:szCs w:val="20"/>
                <w:u w:val="none"/>
              </w:rPr>
            </w:pPr>
            <w:r>
              <w:rPr>
                <w:rFonts w:hint="eastAsia" w:ascii="宋体" w:hAnsi="宋体" w:eastAsia="宋体" w:cs="宋体"/>
                <w:i w:val="0"/>
                <w:iCs w:val="0"/>
                <w:color w:val="606050"/>
                <w:kern w:val="0"/>
                <w:sz w:val="20"/>
                <w:szCs w:val="20"/>
                <w:u w:val="none"/>
                <w:lang w:val="en-US" w:eastAsia="zh-CN" w:bidi="ar"/>
              </w:rPr>
              <w:t>3</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FED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r>
      <w:tr w14:paraId="35129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B3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4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F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5FAE">
            <w:pPr>
              <w:keepNext w:val="0"/>
              <w:keepLines w:val="0"/>
              <w:widowControl/>
              <w:suppressLineNumbers w:val="0"/>
              <w:jc w:val="center"/>
              <w:textAlignment w:val="center"/>
              <w:rPr>
                <w:rFonts w:hint="eastAsia" w:ascii="宋体" w:hAnsi="宋体" w:eastAsia="宋体" w:cs="宋体"/>
                <w:i w:val="0"/>
                <w:iCs w:val="0"/>
                <w:color w:val="404040"/>
                <w:sz w:val="20"/>
                <w:szCs w:val="20"/>
                <w:u w:val="none"/>
              </w:rPr>
            </w:pPr>
            <w:r>
              <w:rPr>
                <w:rFonts w:hint="eastAsia" w:ascii="宋体" w:hAnsi="宋体" w:eastAsia="宋体" w:cs="宋体"/>
                <w:i w:val="0"/>
                <w:iCs w:val="0"/>
                <w:color w:val="404040"/>
                <w:kern w:val="0"/>
                <w:sz w:val="20"/>
                <w:szCs w:val="20"/>
                <w:u w:val="none"/>
                <w:lang w:val="en-US" w:eastAsia="zh-CN" w:bidi="ar"/>
              </w:rPr>
              <w:t>20</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5F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≤3043785元</w:t>
            </w:r>
          </w:p>
        </w:tc>
      </w:tr>
      <w:tr w14:paraId="36979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4A7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35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4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推动海淀区地方课程和校本课程建设的可持续发展</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3BCD">
            <w:pPr>
              <w:keepNext w:val="0"/>
              <w:keepLines w:val="0"/>
              <w:widowControl/>
              <w:suppressLineNumbers w:val="0"/>
              <w:jc w:val="center"/>
              <w:textAlignment w:val="center"/>
              <w:rPr>
                <w:rFonts w:hint="eastAsia" w:ascii="宋体" w:hAnsi="宋体" w:eastAsia="宋体" w:cs="宋体"/>
                <w:i w:val="0"/>
                <w:iCs w:val="0"/>
                <w:color w:val="404040"/>
                <w:sz w:val="20"/>
                <w:szCs w:val="20"/>
                <w:u w:val="none"/>
              </w:rPr>
            </w:pPr>
            <w:r>
              <w:rPr>
                <w:rFonts w:hint="eastAsia" w:ascii="宋体" w:hAnsi="宋体" w:eastAsia="宋体" w:cs="宋体"/>
                <w:i w:val="0"/>
                <w:iCs w:val="0"/>
                <w:color w:val="404040"/>
                <w:kern w:val="0"/>
                <w:sz w:val="20"/>
                <w:szCs w:val="20"/>
                <w:u w:val="none"/>
                <w:lang w:val="en-US" w:eastAsia="zh-CN" w:bidi="ar"/>
              </w:rPr>
              <w:t>5</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0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r>
      <w:tr w14:paraId="3317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1D280">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0A82C">
            <w:pPr>
              <w:jc w:val="center"/>
              <w:rPr>
                <w:rFonts w:hint="eastAsia" w:ascii="宋体" w:hAnsi="宋体" w:eastAsia="宋体" w:cs="宋体"/>
                <w:i w:val="0"/>
                <w:iCs w:val="0"/>
                <w:color w:val="000000"/>
                <w:sz w:val="20"/>
                <w:szCs w:val="20"/>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B2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为区域教育改革实验研究搭建平台</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8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8C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r>
      <w:tr w14:paraId="79436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9A5B2">
            <w:pPr>
              <w:jc w:val="center"/>
              <w:rPr>
                <w:rFonts w:hint="eastAsia" w:ascii="宋体" w:hAnsi="宋体" w:eastAsia="宋体" w:cs="宋体"/>
                <w:i w:val="0"/>
                <w:iCs w:val="0"/>
                <w:color w:val="000000"/>
                <w:sz w:val="20"/>
                <w:szCs w:val="20"/>
                <w:u w:val="none"/>
              </w:rPr>
            </w:pPr>
          </w:p>
        </w:tc>
        <w:tc>
          <w:tcPr>
            <w:tcW w:w="1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9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1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培养具有研究意识和研究能力的骨干教师/研究型教师</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92F3">
            <w:pPr>
              <w:keepNext w:val="0"/>
              <w:keepLines w:val="0"/>
              <w:widowControl/>
              <w:suppressLineNumbers w:val="0"/>
              <w:jc w:val="center"/>
              <w:textAlignment w:val="center"/>
              <w:rPr>
                <w:rFonts w:hint="eastAsia" w:ascii="宋体" w:hAnsi="宋体" w:eastAsia="宋体" w:cs="宋体"/>
                <w:i w:val="0"/>
                <w:iCs w:val="0"/>
                <w:color w:val="505050"/>
                <w:sz w:val="20"/>
                <w:szCs w:val="20"/>
                <w:u w:val="none"/>
              </w:rPr>
            </w:pPr>
            <w:r>
              <w:rPr>
                <w:rFonts w:hint="eastAsia" w:ascii="宋体" w:hAnsi="宋体" w:eastAsia="宋体" w:cs="宋体"/>
                <w:i w:val="0"/>
                <w:iCs w:val="0"/>
                <w:color w:val="505050"/>
                <w:kern w:val="0"/>
                <w:sz w:val="20"/>
                <w:szCs w:val="20"/>
                <w:u w:val="none"/>
                <w:lang w:val="en-US" w:eastAsia="zh-CN" w:bidi="ar"/>
              </w:rPr>
              <w:t>10</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0D8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r>
      <w:tr w14:paraId="65B6F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55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3172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服务对象满意度  指标</w:t>
            </w: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50E4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教师满意度</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3625">
            <w:pPr>
              <w:keepNext w:val="0"/>
              <w:keepLines w:val="0"/>
              <w:widowControl/>
              <w:suppressLineNumbers w:val="0"/>
              <w:jc w:val="center"/>
              <w:textAlignment w:val="center"/>
              <w:rPr>
                <w:rFonts w:hint="eastAsia" w:ascii="宋体" w:hAnsi="宋体" w:eastAsia="宋体" w:cs="宋体"/>
                <w:i w:val="0"/>
                <w:iCs w:val="0"/>
                <w:color w:val="50505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B56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r w14:paraId="038D7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35099">
            <w:pPr>
              <w:jc w:val="center"/>
              <w:rPr>
                <w:rFonts w:hint="eastAsia" w:ascii="宋体" w:hAnsi="宋体" w:eastAsia="宋体" w:cs="宋体"/>
                <w:i w:val="0"/>
                <w:iCs w:val="0"/>
                <w:color w:val="000000"/>
                <w:sz w:val="20"/>
                <w:szCs w:val="20"/>
                <w:u w:val="none"/>
              </w:rPr>
            </w:pPr>
          </w:p>
        </w:tc>
        <w:tc>
          <w:tcPr>
            <w:tcW w:w="1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7A480">
            <w:pPr>
              <w:jc w:val="center"/>
              <w:rPr>
                <w:rFonts w:hint="eastAsia" w:ascii="宋体" w:hAnsi="宋体" w:eastAsia="宋体" w:cs="宋体"/>
                <w:i w:val="0"/>
                <w:iCs w:val="0"/>
                <w:color w:val="000000"/>
                <w:kern w:val="0"/>
                <w:sz w:val="20"/>
                <w:szCs w:val="20"/>
                <w:u w:val="none"/>
                <w:lang w:val="en-US" w:eastAsia="zh-CN" w:bidi="ar"/>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A0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404040"/>
                <w:kern w:val="0"/>
                <w:sz w:val="20"/>
                <w:szCs w:val="20"/>
                <w:u w:val="none"/>
                <w:lang w:val="en-US" w:eastAsia="zh-CN" w:bidi="ar"/>
              </w:rPr>
              <w:t>学校满意度</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DB449">
            <w:pPr>
              <w:keepNext w:val="0"/>
              <w:keepLines w:val="0"/>
              <w:widowControl/>
              <w:suppressLineNumbers w:val="0"/>
              <w:jc w:val="center"/>
              <w:textAlignment w:val="center"/>
              <w:rPr>
                <w:rFonts w:hint="eastAsia" w:ascii="宋体" w:hAnsi="宋体" w:eastAsia="宋体" w:cs="宋体"/>
                <w:i w:val="0"/>
                <w:iCs w:val="0"/>
                <w:color w:val="505050"/>
                <w:kern w:val="0"/>
                <w:sz w:val="20"/>
                <w:szCs w:val="20"/>
                <w:u w:val="none"/>
                <w:lang w:val="en-US" w:eastAsia="zh-CN" w:bidi="ar"/>
              </w:rPr>
            </w:pPr>
            <w:r>
              <w:rPr>
                <w:rFonts w:hint="eastAsia" w:ascii="宋体" w:hAnsi="宋体" w:eastAsia="宋体" w:cs="宋体"/>
                <w:i w:val="0"/>
                <w:iCs w:val="0"/>
                <w:color w:val="405040"/>
                <w:kern w:val="0"/>
                <w:sz w:val="20"/>
                <w:szCs w:val="20"/>
                <w:u w:val="none"/>
                <w:lang w:val="en-US" w:eastAsia="zh-CN" w:bidi="ar"/>
              </w:rPr>
              <w:t>5</w:t>
            </w:r>
          </w:p>
        </w:tc>
        <w:tc>
          <w:tcPr>
            <w:tcW w:w="2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1CA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≥95%</w:t>
            </w:r>
          </w:p>
        </w:tc>
      </w:tr>
    </w:tbl>
    <w:p w14:paraId="10C2EBCF">
      <w:pPr>
        <w:adjustRightInd w:val="0"/>
        <w:snapToGrid w:val="0"/>
        <w:spacing w:line="360" w:lineRule="auto"/>
        <w:rPr>
          <w:rFonts w:hint="eastAsia" w:ascii="仿宋_GB2312" w:hAnsi="Arial" w:eastAsia="仿宋_GB2312" w:cs="Arial"/>
          <w:bCs/>
          <w:sz w:val="32"/>
          <w:szCs w:val="32"/>
        </w:rPr>
      </w:pPr>
    </w:p>
    <w:p w14:paraId="556EF8DA">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仿宋_GB2312" w:hAnsi="Arial" w:eastAsia="仿宋_GB2312" w:cs="Arial"/>
          <w:bCs/>
          <w:sz w:val="32"/>
          <w:szCs w:val="32"/>
          <w:lang w:val="en-US" w:eastAsia="zh-CN"/>
        </w:rPr>
      </w:pPr>
      <w:bookmarkStart w:id="56" w:name="_Toc689477648"/>
      <w:r>
        <w:rPr>
          <w:rFonts w:hint="eastAsia" w:ascii="楷体_GB2312" w:hAnsi="Arial" w:eastAsia="楷体_GB2312" w:cs="Arial"/>
          <w:bCs/>
          <w:sz w:val="32"/>
          <w:szCs w:val="32"/>
        </w:rPr>
        <w:t>（三）项目资金情况</w:t>
      </w:r>
      <w:bookmarkEnd w:id="56"/>
    </w:p>
    <w:p w14:paraId="1EC70E4F">
      <w:pPr>
        <w:adjustRightInd w:val="0"/>
        <w:snapToGrid w:val="0"/>
        <w:spacing w:line="360" w:lineRule="auto"/>
        <w:ind w:firstLine="640" w:firstLineChars="200"/>
        <w:jc w:val="both"/>
        <w:rPr>
          <w:rFonts w:hint="eastAsia" w:ascii="仿宋_GB2312" w:hAnsi="Arial" w:eastAsia="仿宋_GB2312" w:cs="Arial"/>
          <w:bCs/>
          <w:sz w:val="32"/>
          <w:szCs w:val="32"/>
          <w:lang w:val="en-US" w:eastAsia="zh-CN"/>
        </w:rPr>
      </w:pPr>
      <w:r>
        <w:rPr>
          <w:rFonts w:hint="eastAsia" w:ascii="仿宋_GB2312" w:hAnsi="Arial" w:eastAsia="仿宋_GB2312" w:cs="Arial"/>
          <w:bCs/>
          <w:sz w:val="32"/>
          <w:szCs w:val="32"/>
          <w:lang w:val="en-US" w:eastAsia="zh-CN"/>
        </w:rPr>
        <w:t xml:space="preserve">2024年初批复本项目预算3,043,785.00元，实际到位资金3,043,785.00元，实际支出 </w:t>
      </w:r>
      <w:bookmarkStart w:id="57" w:name="_Hlk198214300"/>
      <w:r>
        <w:rPr>
          <w:rFonts w:hint="eastAsia" w:ascii="仿宋_GB2312" w:hAnsi="Arial" w:eastAsia="仿宋_GB2312" w:cs="Arial"/>
          <w:bCs/>
          <w:sz w:val="32"/>
          <w:szCs w:val="32"/>
          <w:lang w:val="en-US" w:eastAsia="zh-CN"/>
        </w:rPr>
        <w:t>3,043,785.00</w:t>
      </w:r>
      <w:bookmarkEnd w:id="57"/>
      <w:r>
        <w:rPr>
          <w:rFonts w:hint="eastAsia" w:ascii="仿宋_GB2312" w:hAnsi="Arial" w:eastAsia="仿宋_GB2312" w:cs="Arial"/>
          <w:bCs/>
          <w:sz w:val="32"/>
          <w:szCs w:val="32"/>
          <w:lang w:val="en-US" w:eastAsia="zh-CN"/>
        </w:rPr>
        <w:t>元，预算执行率100%。项目资金投入及使用情况见表2。</w:t>
      </w:r>
    </w:p>
    <w:p w14:paraId="6CC01756">
      <w:pPr>
        <w:spacing w:line="560" w:lineRule="exact"/>
        <w:jc w:val="center"/>
        <w:rPr>
          <w:rFonts w:hint="eastAsia" w:ascii="黑体" w:hAnsi="黑体" w:eastAsia="黑体" w:cs="黑体"/>
          <w:bCs/>
          <w:sz w:val="28"/>
          <w:szCs w:val="28"/>
        </w:rPr>
      </w:pPr>
      <w:r>
        <w:rPr>
          <w:rFonts w:hint="eastAsia" w:ascii="黑体" w:hAnsi="黑体" w:eastAsia="黑体" w:cs="黑体"/>
          <w:bCs/>
          <w:sz w:val="28"/>
          <w:szCs w:val="28"/>
          <w:lang w:val="en-US" w:eastAsia="zh-CN"/>
        </w:rPr>
        <w:t xml:space="preserve">表2 </w:t>
      </w:r>
      <w:r>
        <w:rPr>
          <w:rFonts w:hint="eastAsia" w:ascii="黑体" w:hAnsi="黑体" w:eastAsia="黑体" w:cs="黑体"/>
          <w:bCs/>
          <w:sz w:val="28"/>
          <w:szCs w:val="28"/>
        </w:rPr>
        <w:t>项目资金投入及使用情况表</w:t>
      </w:r>
    </w:p>
    <w:tbl>
      <w:tblPr>
        <w:tblStyle w:val="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42"/>
        <w:gridCol w:w="2022"/>
        <w:gridCol w:w="2076"/>
        <w:gridCol w:w="1515"/>
      </w:tblGrid>
      <w:tr w14:paraId="6AEA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ACEEB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费用名称</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F5CF1F">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预算批复数/万元</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1E923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实际支出数/万元</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47826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偏差率</w:t>
            </w:r>
          </w:p>
        </w:tc>
      </w:tr>
      <w:tr w14:paraId="05341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2B09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课例设计专家评估劳务费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5C09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4029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9E897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9678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E77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课例研讨图书资源购买费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CF5A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5D436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347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D4A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F10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课例研讨活动经费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56B3C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4.28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9D14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4.28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01D32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7FBF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5EC1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作业设计、命题、学习路径专项专家评估劳务费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5471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15.12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927D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15.12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B42F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6E9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806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作业设计、命题、学习路径专项研讨活动经费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F1DA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5A3B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02DA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5CD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11A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作业设计、命题、学习路径专项资源购买费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9C909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F49E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AF3D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FE0C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11CB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课程集中封闭研讨活动费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7280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633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22.83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8ABB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0.13%</w:t>
            </w:r>
          </w:p>
        </w:tc>
      </w:tr>
      <w:tr w14:paraId="72F6E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C32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完善课程建设和凝练课程特色-专家劳务费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EF0B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2A5E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2E71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0E52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484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完善课程建设和凝练课程特-图书资源购买费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23F7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AC09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8B9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361A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040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生物类特色课程材料包</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1352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16.53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A9EC6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16.45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07D47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-0.48%</w:t>
            </w:r>
          </w:p>
        </w:tc>
      </w:tr>
      <w:tr w14:paraId="4D71C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71B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技术类特色课程材料包</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AB0A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32.13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A684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34.94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1D2C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r>
      <w:tr w14:paraId="29B99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AAC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物理类特色课程材料包</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2F4C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8.59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B268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7.55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5B2A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-12.11%</w:t>
            </w:r>
          </w:p>
        </w:tc>
      </w:tr>
      <w:tr w14:paraId="789EC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B54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化学类特色课程材料包</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C190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13.36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BE54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11.66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07438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-12.72%</w:t>
            </w:r>
          </w:p>
        </w:tc>
      </w:tr>
      <w:tr w14:paraId="7BD8C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C8A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驻校专家</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7571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F613C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B8A9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CFA5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1F3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职业考察活动</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1BFC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4.48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8956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4.21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DE94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-6.03%</w:t>
            </w:r>
          </w:p>
        </w:tc>
      </w:tr>
      <w:tr w14:paraId="1FC4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2822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校本课程手册类印刷费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3940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93B9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9.25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0CB3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2.78%</w:t>
            </w:r>
          </w:p>
        </w:tc>
      </w:tr>
      <w:tr w14:paraId="639A2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D09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教师交流研讨活动费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0BD2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EE6E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596F7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89C7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038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教师能力提升培训</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66C4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91B8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35F4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A62C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116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教师专业素养培训与提升-专家劳务费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1A5A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0C2A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8E29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06F8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5DB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教师专业素养培训与提升-资源购买费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0433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DCB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14.69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3C89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-8.19%</w:t>
            </w:r>
          </w:p>
        </w:tc>
      </w:tr>
      <w:tr w14:paraId="65136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44E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优秀案例评选专家劳务费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8789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6A7D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7.84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D515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w:t>
            </w:r>
          </w:p>
        </w:tc>
      </w:tr>
      <w:tr w14:paraId="1BC6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C59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优秀案例汇编印刷费</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FBBA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B319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239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17BF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DCDD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教育年会展示</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68AA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2B3D3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4.46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29E6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11.50%</w:t>
            </w:r>
          </w:p>
        </w:tc>
      </w:tr>
      <w:tr w14:paraId="7499C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90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7C1E0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1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B4B83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304.38 </w:t>
            </w:r>
          </w:p>
        </w:tc>
        <w:tc>
          <w:tcPr>
            <w:tcW w:w="114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2DF0E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304.38 </w:t>
            </w:r>
          </w:p>
        </w:tc>
        <w:tc>
          <w:tcPr>
            <w:tcW w:w="83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B26D7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bl>
    <w:p w14:paraId="1799F452">
      <w:pPr>
        <w:spacing w:line="560" w:lineRule="exact"/>
        <w:ind w:right="560"/>
        <w:jc w:val="both"/>
        <w:rPr>
          <w:rFonts w:hint="eastAsia" w:ascii="黑体" w:hAnsi="黑体" w:eastAsia="黑体" w:cs="黑体"/>
          <w:bCs/>
          <w:sz w:val="21"/>
          <w:szCs w:val="21"/>
        </w:rPr>
      </w:pPr>
    </w:p>
    <w:p w14:paraId="5EB102DF">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_GB2312" w:hAnsi="Arial" w:eastAsia="楷体_GB2312" w:cs="Arial"/>
          <w:bCs/>
          <w:sz w:val="32"/>
          <w:szCs w:val="32"/>
        </w:rPr>
      </w:pPr>
      <w:bookmarkStart w:id="58" w:name="_Toc229070724"/>
      <w:r>
        <w:rPr>
          <w:rFonts w:hint="eastAsia" w:ascii="楷体_GB2312" w:hAnsi="Arial" w:eastAsia="楷体_GB2312" w:cs="Arial"/>
          <w:bCs/>
          <w:sz w:val="32"/>
          <w:szCs w:val="32"/>
        </w:rPr>
        <w:t>（四）项目实施情况</w:t>
      </w:r>
      <w:bookmarkEnd w:id="58"/>
    </w:p>
    <w:p w14:paraId="396F4736">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我</w:t>
      </w:r>
      <w:r>
        <w:rPr>
          <w:rFonts w:hint="eastAsia" w:ascii="仿宋_GB2312" w:eastAsia="仿宋_GB2312"/>
          <w:sz w:val="32"/>
          <w:szCs w:val="32"/>
        </w:rPr>
        <w:t>校根据《教育部办公厅关于做好普通高中新课程新教材实施国家级示范区和示范校建设工作的通知》（教基厅函〔2020〕19号）、《北京市关于深化育人方式改革推进普通高中多样化特色发展的意见》（京教组发〔2020〕2号）、《北京市教育委员会关于印发&lt;北京市普通高中多样化特色发展创建工作方案&gt;的通知》等文件，组织实施本项目。</w:t>
      </w:r>
    </w:p>
    <w:p w14:paraId="68C2DA7C">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组织实施</w:t>
      </w:r>
      <w:r>
        <w:rPr>
          <w:rFonts w:hint="eastAsia" w:ascii="仿宋_GB2312" w:eastAsia="仿宋_GB2312"/>
          <w:sz w:val="32"/>
          <w:szCs w:val="32"/>
        </w:rPr>
        <w:t>方面</w:t>
      </w:r>
      <w:r>
        <w:rPr>
          <w:rFonts w:hint="eastAsia" w:ascii="仿宋_GB2312" w:eastAsia="仿宋_GB2312"/>
          <w:sz w:val="32"/>
          <w:szCs w:val="32"/>
          <w:lang w:eastAsia="zh-CN"/>
        </w:rPr>
        <w:t>：</w:t>
      </w:r>
      <w:r>
        <w:rPr>
          <w:rFonts w:hint="eastAsia" w:ascii="仿宋_GB2312" w:eastAsia="仿宋_GB2312"/>
          <w:sz w:val="32"/>
          <w:szCs w:val="32"/>
          <w:lang w:val="en-US" w:eastAsia="zh-CN"/>
        </w:rPr>
        <w:t>我</w:t>
      </w:r>
      <w:r>
        <w:rPr>
          <w:rFonts w:hint="eastAsia" w:ascii="仿宋_GB2312" w:eastAsia="仿宋_GB2312"/>
          <w:sz w:val="32"/>
          <w:szCs w:val="32"/>
        </w:rPr>
        <w:t>校成立了普通高中课程改革推进专项工作小组</w:t>
      </w:r>
      <w:r>
        <w:rPr>
          <w:rFonts w:hint="eastAsia" w:ascii="仿宋_GB2312" w:eastAsia="仿宋_GB2312"/>
          <w:sz w:val="32"/>
          <w:szCs w:val="32"/>
          <w:lang w:eastAsia="zh-CN"/>
        </w:rPr>
        <w:t>。</w:t>
      </w:r>
      <w:r>
        <w:rPr>
          <w:rFonts w:hint="eastAsia" w:ascii="仿宋_GB2312" w:eastAsia="仿宋_GB2312"/>
          <w:sz w:val="32"/>
          <w:szCs w:val="32"/>
        </w:rPr>
        <w:t>校党组织充分发挥把方向、管大局、保落实的领导作用；课程与教学研究院统筹领导，制定实施方案；学科负责人、教研组长和课程负责人定期组织教师进行案例研讨和经验分享。教育家书院定期邀请相关领域专家，对教师项目团队进行培训。在项目推进过程中，依据教育政策的动态调整、教育研究的最新成果以及学校实践中的反馈，对项目内容进行了适度优化，力求实现精准管理。</w:t>
      </w:r>
    </w:p>
    <w:p w14:paraId="3EBAEBBB">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资金使用方面</w:t>
      </w:r>
      <w:r>
        <w:rPr>
          <w:rFonts w:hint="eastAsia" w:ascii="仿宋_GB2312" w:eastAsia="仿宋_GB2312"/>
          <w:sz w:val="32"/>
          <w:szCs w:val="32"/>
          <w:lang w:eastAsia="zh-CN"/>
        </w:rPr>
        <w:t>：</w:t>
      </w:r>
      <w:r>
        <w:rPr>
          <w:rFonts w:hint="eastAsia" w:ascii="仿宋_GB2312" w:eastAsia="仿宋_GB2312"/>
          <w:sz w:val="32"/>
          <w:szCs w:val="32"/>
          <w:lang w:val="en-US" w:eastAsia="zh-CN"/>
        </w:rPr>
        <w:t>我</w:t>
      </w:r>
      <w:r>
        <w:rPr>
          <w:rFonts w:hint="eastAsia" w:ascii="仿宋_GB2312" w:eastAsia="仿宋_GB2312"/>
          <w:sz w:val="32"/>
          <w:szCs w:val="32"/>
        </w:rPr>
        <w:t>校</w:t>
      </w:r>
      <w:r>
        <w:rPr>
          <w:rFonts w:hint="eastAsia" w:ascii="仿宋_GB2312" w:eastAsia="仿宋_GB2312"/>
          <w:sz w:val="32"/>
          <w:szCs w:val="32"/>
          <w:lang w:val="en-US" w:eastAsia="zh-CN"/>
        </w:rPr>
        <w:t>严格执行</w:t>
      </w:r>
      <w:r>
        <w:rPr>
          <w:rFonts w:hint="eastAsia" w:ascii="仿宋_GB2312" w:eastAsia="仿宋_GB2312"/>
          <w:sz w:val="32"/>
          <w:szCs w:val="32"/>
        </w:rPr>
        <w:t>《北京市十一学校内部控制制度汇编》《北京市十一学校内部控制手册》</w:t>
      </w:r>
      <w:r>
        <w:rPr>
          <w:rFonts w:hint="eastAsia" w:ascii="仿宋_GB2312" w:eastAsia="仿宋_GB2312"/>
          <w:sz w:val="32"/>
          <w:szCs w:val="32"/>
          <w:lang w:val="en-US" w:eastAsia="zh-CN"/>
        </w:rPr>
        <w:t>的相关要求</w:t>
      </w:r>
      <w:r>
        <w:rPr>
          <w:rFonts w:hint="eastAsia" w:ascii="仿宋_GB2312" w:eastAsia="仿宋_GB2312"/>
          <w:sz w:val="32"/>
          <w:szCs w:val="32"/>
        </w:rPr>
        <w:t>，</w:t>
      </w:r>
      <w:r>
        <w:rPr>
          <w:rFonts w:hint="eastAsia" w:ascii="仿宋_GB2312" w:eastAsia="仿宋_GB2312"/>
          <w:sz w:val="32"/>
          <w:szCs w:val="32"/>
          <w:lang w:val="en-US" w:eastAsia="zh-CN"/>
        </w:rPr>
        <w:t>按内部控制体系要求履行申请及审批程序，</w:t>
      </w:r>
      <w:r>
        <w:rPr>
          <w:rFonts w:hint="eastAsia" w:ascii="仿宋_GB2312" w:eastAsia="仿宋_GB2312"/>
          <w:sz w:val="32"/>
          <w:szCs w:val="32"/>
        </w:rPr>
        <w:t>实现对</w:t>
      </w:r>
      <w:r>
        <w:rPr>
          <w:rFonts w:hint="eastAsia" w:ascii="仿宋_GB2312" w:eastAsia="仿宋_GB2312"/>
          <w:sz w:val="32"/>
          <w:szCs w:val="32"/>
          <w:lang w:val="en-US" w:eastAsia="zh-CN"/>
        </w:rPr>
        <w:t>本项目</w:t>
      </w:r>
      <w:r>
        <w:rPr>
          <w:rFonts w:hint="eastAsia" w:ascii="仿宋_GB2312" w:eastAsia="仿宋_GB2312"/>
          <w:sz w:val="32"/>
          <w:szCs w:val="32"/>
        </w:rPr>
        <w:t>预算、收支、采购、合同等关键环节的全流程、精细化管控。在项目执行过程中，</w:t>
      </w:r>
      <w:r>
        <w:rPr>
          <w:rFonts w:hint="eastAsia" w:ascii="仿宋_GB2312" w:eastAsia="仿宋_GB2312"/>
          <w:sz w:val="32"/>
          <w:szCs w:val="32"/>
          <w:lang w:val="en-US" w:eastAsia="zh-CN"/>
        </w:rPr>
        <w:t>我</w:t>
      </w:r>
      <w:r>
        <w:rPr>
          <w:rFonts w:hint="eastAsia" w:ascii="仿宋_GB2312" w:eastAsia="仿宋_GB2312"/>
          <w:sz w:val="32"/>
          <w:szCs w:val="32"/>
        </w:rPr>
        <w:t>校对</w:t>
      </w:r>
      <w:r>
        <w:rPr>
          <w:rFonts w:hint="eastAsia" w:ascii="仿宋_GB2312" w:eastAsia="仿宋_GB2312"/>
          <w:sz w:val="32"/>
          <w:szCs w:val="32"/>
          <w:lang w:val="en-US" w:eastAsia="zh-CN"/>
        </w:rPr>
        <w:t>本项目</w:t>
      </w:r>
      <w:r>
        <w:rPr>
          <w:rFonts w:hint="eastAsia" w:ascii="仿宋_GB2312" w:eastAsia="仿宋_GB2312"/>
          <w:sz w:val="32"/>
          <w:szCs w:val="32"/>
        </w:rPr>
        <w:t>预算资金实行财务统一管理，单独核算，专项资金纳入线上内控系统，实行资金拨付与项目进度双控机制，同时规范报销流程，劳务费发放实行银行代发制。</w:t>
      </w:r>
    </w:p>
    <w:p w14:paraId="3CA668E7">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验收及结算审核方面</w:t>
      </w:r>
      <w:bookmarkStart w:id="59" w:name="_Hlk200136132"/>
      <w:r>
        <w:rPr>
          <w:rFonts w:hint="eastAsia" w:ascii="仿宋_GB2312" w:eastAsia="仿宋_GB2312"/>
          <w:sz w:val="32"/>
          <w:szCs w:val="32"/>
          <w:lang w:eastAsia="zh-CN"/>
        </w:rPr>
        <w:t>：</w:t>
      </w:r>
      <w:r>
        <w:rPr>
          <w:rFonts w:hint="eastAsia" w:ascii="仿宋_GB2312" w:eastAsia="仿宋_GB2312"/>
          <w:sz w:val="32"/>
          <w:szCs w:val="32"/>
          <w:lang w:val="en-US" w:eastAsia="zh-CN"/>
        </w:rPr>
        <w:t>我校在项目执行终了，由项目负责人组织对项目进行总结并填报项目绩效自评表，相关成果提交主管部门作为项目验收的重要依据。我校财务部门负责对项目资金的统一管理，对项目每笔支出和项目结算进行审核把关。</w:t>
      </w:r>
      <w:bookmarkEnd w:id="59"/>
    </w:p>
    <w:p w14:paraId="434583F2">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0"/>
        <w:rPr>
          <w:rFonts w:hint="eastAsia" w:ascii="黑体" w:hAnsi="黑体" w:eastAsia="黑体"/>
          <w:sz w:val="32"/>
          <w:szCs w:val="32"/>
        </w:rPr>
      </w:pPr>
      <w:bookmarkStart w:id="60" w:name="_Toc1700962844"/>
      <w:r>
        <w:rPr>
          <w:rFonts w:hint="eastAsia" w:ascii="黑体" w:hAnsi="黑体" w:eastAsia="黑体"/>
          <w:sz w:val="32"/>
          <w:szCs w:val="32"/>
        </w:rPr>
        <w:t>二、绩效自评工作开展情况</w:t>
      </w:r>
      <w:bookmarkEnd w:id="60"/>
    </w:p>
    <w:p w14:paraId="59BFE06B">
      <w:pPr>
        <w:adjustRightInd w:val="0"/>
        <w:snapToGrid w:val="0"/>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本项目依据项目资料，采取定性与定量相结合的方式，采用目标预定与实施效果比较等方法，从项目决策、项目过程、项目产出、项目效益4个方面对本项目开展绩效自评。绩效自评指标体系详见附件。</w:t>
      </w:r>
    </w:p>
    <w:p w14:paraId="333AC787">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0"/>
        <w:rPr>
          <w:rFonts w:hint="eastAsia" w:ascii="黑体" w:hAnsi="黑体" w:eastAsia="黑体"/>
          <w:sz w:val="32"/>
          <w:szCs w:val="32"/>
        </w:rPr>
      </w:pPr>
      <w:bookmarkStart w:id="61" w:name="_Toc780210244"/>
      <w:r>
        <w:rPr>
          <w:rFonts w:hint="eastAsia" w:ascii="黑体" w:hAnsi="黑体" w:eastAsia="黑体"/>
          <w:sz w:val="32"/>
          <w:szCs w:val="32"/>
        </w:rPr>
        <w:t>三、综合自评情况及结论</w:t>
      </w:r>
      <w:bookmarkEnd w:id="61"/>
    </w:p>
    <w:p w14:paraId="4006C865">
      <w:pPr>
        <w:adjustRightInd w:val="0"/>
        <w:snapToGrid w:val="0"/>
        <w:spacing w:line="360" w:lineRule="auto"/>
        <w:ind w:firstLine="640" w:firstLineChars="200"/>
        <w:rPr>
          <w:rFonts w:hint="eastAsia" w:ascii="仿宋_GB2312" w:hAnsi="仿宋_GB2312" w:eastAsia="仿宋_GB2312" w:cs="仿宋_GB2312"/>
          <w:kern w:val="44"/>
          <w:sz w:val="32"/>
          <w:szCs w:val="32"/>
        </w:rPr>
      </w:pPr>
      <w:r>
        <w:rPr>
          <w:rFonts w:hint="eastAsia" w:ascii="仿宋_GB2312" w:hAnsi="仿宋_GB2312" w:eastAsia="仿宋_GB2312" w:cs="仿宋_GB2312"/>
          <w:kern w:val="44"/>
          <w:sz w:val="32"/>
          <w:szCs w:val="32"/>
          <w:lang w:val="en-US" w:eastAsia="zh-CN"/>
        </w:rPr>
        <w:t>经自评，本项目绩效目标较为明确、合理，预算执行情况较好，年度工作任务完成度高，在发掘和培育普通高中新课程新教材实施典型经验、发挥对口帮扶示范引领作用、推动区域教育高质量发展等方面取得了良好成效。</w:t>
      </w:r>
    </w:p>
    <w:p w14:paraId="4C601DDE">
      <w:pPr>
        <w:adjustRightInd w:val="0"/>
        <w:snapToGrid w:val="0"/>
        <w:spacing w:line="360" w:lineRule="auto"/>
        <w:ind w:firstLine="640" w:firstLineChars="200"/>
        <w:rPr>
          <w:rFonts w:hint="eastAsia" w:ascii="仿宋_GB2312" w:hAnsi="仿宋_GB2312" w:eastAsia="仿宋_GB2312" w:cs="仿宋_GB2312"/>
          <w:kern w:val="44"/>
          <w:sz w:val="32"/>
          <w:szCs w:val="32"/>
        </w:rPr>
      </w:pPr>
      <w:r>
        <w:rPr>
          <w:rFonts w:hint="eastAsia" w:ascii="仿宋_GB2312" w:hAnsi="仿宋_GB2312" w:eastAsia="仿宋_GB2312" w:cs="仿宋_GB2312"/>
          <w:kern w:val="44"/>
          <w:sz w:val="32"/>
          <w:szCs w:val="32"/>
          <w:highlight w:val="none"/>
          <w:lang w:val="en-US" w:eastAsia="zh-CN"/>
        </w:rPr>
        <w:t>本</w:t>
      </w:r>
      <w:r>
        <w:rPr>
          <w:rFonts w:hint="eastAsia" w:ascii="仿宋_GB2312" w:hAnsi="仿宋_GB2312" w:eastAsia="仿宋_GB2312" w:cs="仿宋_GB2312"/>
          <w:kern w:val="44"/>
          <w:sz w:val="32"/>
          <w:szCs w:val="32"/>
          <w:highlight w:val="none"/>
        </w:rPr>
        <w:t>项目自评得分</w:t>
      </w:r>
      <w:r>
        <w:rPr>
          <w:rFonts w:hint="eastAsia" w:ascii="仿宋_GB2312" w:hAnsi="仿宋_GB2312" w:eastAsia="仿宋_GB2312" w:cs="仿宋_GB2312"/>
          <w:kern w:val="44"/>
          <w:sz w:val="32"/>
          <w:szCs w:val="32"/>
          <w:highlight w:val="none"/>
          <w:lang w:val="en-US" w:eastAsia="zh-CN"/>
        </w:rPr>
        <w:t>93.50</w:t>
      </w:r>
      <w:r>
        <w:rPr>
          <w:rFonts w:hint="eastAsia" w:ascii="仿宋_GB2312" w:hAnsi="仿宋_GB2312" w:eastAsia="仿宋_GB2312" w:cs="仿宋_GB2312"/>
          <w:kern w:val="44"/>
          <w:sz w:val="32"/>
          <w:szCs w:val="32"/>
          <w:highlight w:val="none"/>
        </w:rPr>
        <w:t>分，级别为“</w:t>
      </w:r>
      <w:r>
        <w:rPr>
          <w:rFonts w:hint="eastAsia" w:ascii="仿宋_GB2312" w:hAnsi="仿宋_GB2312" w:eastAsia="仿宋_GB2312" w:cs="仿宋_GB2312"/>
          <w:kern w:val="44"/>
          <w:sz w:val="32"/>
          <w:szCs w:val="32"/>
          <w:highlight w:val="none"/>
          <w:lang w:val="en-US" w:eastAsia="zh-CN"/>
        </w:rPr>
        <w:t>优</w:t>
      </w:r>
      <w:r>
        <w:rPr>
          <w:rFonts w:hint="eastAsia" w:ascii="仿宋_GB2312" w:hAnsi="仿宋_GB2312" w:eastAsia="仿宋_GB2312" w:cs="仿宋_GB2312"/>
          <w:kern w:val="44"/>
          <w:sz w:val="32"/>
          <w:szCs w:val="32"/>
          <w:highlight w:val="none"/>
        </w:rPr>
        <w:t>”。其中，项目决策得分为</w:t>
      </w:r>
      <w:r>
        <w:rPr>
          <w:rFonts w:hint="eastAsia" w:ascii="仿宋_GB2312" w:hAnsi="仿宋_GB2312" w:eastAsia="仿宋_GB2312" w:cs="仿宋_GB2312"/>
          <w:kern w:val="44"/>
          <w:sz w:val="32"/>
          <w:szCs w:val="32"/>
          <w:highlight w:val="none"/>
          <w:lang w:val="en-US" w:eastAsia="zh-CN"/>
        </w:rPr>
        <w:t>9.50</w:t>
      </w:r>
      <w:r>
        <w:rPr>
          <w:rFonts w:hint="eastAsia" w:ascii="仿宋_GB2312" w:hAnsi="仿宋_GB2312" w:eastAsia="仿宋_GB2312" w:cs="仿宋_GB2312"/>
          <w:kern w:val="44"/>
          <w:sz w:val="32"/>
          <w:szCs w:val="32"/>
          <w:highlight w:val="none"/>
        </w:rPr>
        <w:t>分、项目过程得分为</w:t>
      </w:r>
      <w:r>
        <w:rPr>
          <w:rFonts w:hint="eastAsia" w:ascii="仿宋_GB2312" w:hAnsi="仿宋_GB2312" w:eastAsia="仿宋_GB2312" w:cs="仿宋_GB2312"/>
          <w:kern w:val="44"/>
          <w:sz w:val="32"/>
          <w:szCs w:val="32"/>
          <w:highlight w:val="none"/>
          <w:lang w:val="en-US" w:eastAsia="zh-CN"/>
        </w:rPr>
        <w:t>20.00</w:t>
      </w:r>
      <w:r>
        <w:rPr>
          <w:rFonts w:hint="eastAsia" w:ascii="仿宋_GB2312" w:hAnsi="仿宋_GB2312" w:eastAsia="仿宋_GB2312" w:cs="仿宋_GB2312"/>
          <w:kern w:val="44"/>
          <w:sz w:val="32"/>
          <w:szCs w:val="32"/>
          <w:highlight w:val="none"/>
        </w:rPr>
        <w:t>分、</w:t>
      </w:r>
      <w:r>
        <w:rPr>
          <w:rFonts w:hint="eastAsia" w:ascii="仿宋_GB2312" w:hAnsi="Arial" w:eastAsia="仿宋_GB2312" w:cs="Arial"/>
          <w:bCs/>
          <w:sz w:val="32"/>
          <w:szCs w:val="32"/>
          <w:highlight w:val="none"/>
        </w:rPr>
        <w:t>项目</w:t>
      </w:r>
      <w:r>
        <w:rPr>
          <w:rFonts w:hint="eastAsia" w:ascii="仿宋_GB2312" w:hAnsi="仿宋_GB2312" w:eastAsia="仿宋_GB2312" w:cs="仿宋_GB2312"/>
          <w:kern w:val="44"/>
          <w:sz w:val="32"/>
          <w:szCs w:val="32"/>
          <w:highlight w:val="none"/>
        </w:rPr>
        <w:t>产出得分为</w:t>
      </w:r>
      <w:r>
        <w:rPr>
          <w:rFonts w:hint="eastAsia" w:ascii="仿宋_GB2312" w:hAnsi="仿宋_GB2312" w:eastAsia="仿宋_GB2312" w:cs="仿宋_GB2312"/>
          <w:kern w:val="44"/>
          <w:sz w:val="32"/>
          <w:szCs w:val="32"/>
          <w:highlight w:val="none"/>
          <w:lang w:val="en-US" w:eastAsia="zh-CN"/>
        </w:rPr>
        <w:t>40.00</w:t>
      </w:r>
      <w:r>
        <w:rPr>
          <w:rFonts w:hint="eastAsia" w:ascii="仿宋_GB2312" w:hAnsi="仿宋_GB2312" w:eastAsia="仿宋_GB2312" w:cs="仿宋_GB2312"/>
          <w:kern w:val="44"/>
          <w:sz w:val="32"/>
          <w:szCs w:val="32"/>
          <w:highlight w:val="none"/>
        </w:rPr>
        <w:t>分、项目效益得分为</w:t>
      </w:r>
      <w:r>
        <w:rPr>
          <w:rFonts w:hint="eastAsia" w:ascii="仿宋_GB2312" w:hAnsi="仿宋_GB2312" w:eastAsia="仿宋_GB2312" w:cs="仿宋_GB2312"/>
          <w:kern w:val="44"/>
          <w:sz w:val="32"/>
          <w:szCs w:val="32"/>
          <w:highlight w:val="none"/>
          <w:lang w:val="en-US" w:eastAsia="zh-CN"/>
        </w:rPr>
        <w:t>24.00</w:t>
      </w:r>
      <w:r>
        <w:rPr>
          <w:rFonts w:hint="eastAsia" w:ascii="仿宋_GB2312" w:hAnsi="仿宋_GB2312" w:eastAsia="仿宋_GB2312" w:cs="仿宋_GB2312"/>
          <w:kern w:val="44"/>
          <w:sz w:val="32"/>
          <w:szCs w:val="32"/>
          <w:highlight w:val="none"/>
        </w:rPr>
        <w:t>分。</w:t>
      </w:r>
      <w:r>
        <w:rPr>
          <w:rFonts w:hint="eastAsia" w:ascii="仿宋_GB2312" w:hAnsi="仿宋_GB2312" w:eastAsia="仿宋_GB2312" w:cs="仿宋_GB2312"/>
          <w:kern w:val="44"/>
          <w:sz w:val="32"/>
          <w:szCs w:val="32"/>
        </w:rPr>
        <w:t>评分情况详见附件。</w:t>
      </w:r>
    </w:p>
    <w:p w14:paraId="7515CDC6">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0"/>
        <w:rPr>
          <w:rFonts w:hint="eastAsia" w:ascii="黑体" w:hAnsi="黑体" w:eastAsia="黑体"/>
          <w:sz w:val="32"/>
          <w:szCs w:val="32"/>
        </w:rPr>
      </w:pPr>
      <w:bookmarkStart w:id="62" w:name="_Toc458422326"/>
      <w:r>
        <w:rPr>
          <w:rFonts w:hint="eastAsia" w:ascii="黑体" w:hAnsi="黑体" w:eastAsia="黑体"/>
          <w:sz w:val="32"/>
          <w:szCs w:val="32"/>
        </w:rPr>
        <w:t>四、项目产出及效益情况</w:t>
      </w:r>
      <w:bookmarkEnd w:id="62"/>
    </w:p>
    <w:p w14:paraId="405EDB64">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_GB2312" w:hAnsi="Arial" w:eastAsia="楷体_GB2312" w:cs="Arial"/>
          <w:bCs/>
          <w:sz w:val="32"/>
          <w:szCs w:val="32"/>
        </w:rPr>
      </w:pPr>
      <w:bookmarkStart w:id="63" w:name="_Toc1680191293"/>
      <w:r>
        <w:rPr>
          <w:rFonts w:hint="eastAsia" w:ascii="楷体_GB2312" w:hAnsi="Arial" w:eastAsia="楷体_GB2312" w:cs="Arial"/>
          <w:bCs/>
          <w:sz w:val="32"/>
          <w:szCs w:val="32"/>
        </w:rPr>
        <w:t>（一）产出</w:t>
      </w:r>
      <w:bookmarkEnd w:id="63"/>
    </w:p>
    <w:p w14:paraId="30E49FD8">
      <w:pPr>
        <w:adjustRightInd w:val="0"/>
        <w:snapToGrid w:val="0"/>
        <w:spacing w:line="360" w:lineRule="auto"/>
        <w:ind w:firstLine="640" w:firstLineChars="200"/>
        <w:rPr>
          <w:rFonts w:hint="eastAsia" w:ascii="仿宋_GB2312" w:hAnsi="仿宋_GB2312" w:eastAsia="仿宋_GB2312" w:cs="仿宋_GB2312"/>
          <w:kern w:val="44"/>
          <w:sz w:val="32"/>
          <w:szCs w:val="32"/>
          <w:highlight w:val="none"/>
          <w:lang w:val="en-US" w:eastAsia="zh-CN"/>
        </w:rPr>
      </w:pPr>
      <w:r>
        <w:rPr>
          <w:rFonts w:hint="eastAsia" w:ascii="仿宋_GB2312" w:hAnsi="仿宋_GB2312" w:eastAsia="仿宋_GB2312" w:cs="仿宋_GB2312"/>
          <w:kern w:val="44"/>
          <w:sz w:val="32"/>
          <w:szCs w:val="32"/>
          <w:lang w:val="en-US" w:eastAsia="zh-CN"/>
        </w:rPr>
        <w:t>2024年，本项目完成材料印刷数量1500份，购买课程资源数量 22 个，开展会议、培训次数均为4 次，课程成果推广4次，培养骨干教师/研究型教师 100 名，校本课程开发 5 门，全校104个案例征集评选，印刷课例/论文集11本，开展4次帮扶活动，组织1次全国性教育年会等工作。均达到年初指标值，其中购买课程资源、案例征集评选、印刷课例/论文集超预期完成指标。</w:t>
      </w:r>
      <w:r>
        <w:rPr>
          <w:rFonts w:hint="eastAsia" w:ascii="仿宋_GB2312" w:hAnsi="仿宋_GB2312" w:eastAsia="仿宋_GB2312" w:cs="仿宋_GB2312"/>
          <w:kern w:val="44"/>
          <w:sz w:val="32"/>
          <w:szCs w:val="32"/>
          <w:highlight w:val="none"/>
          <w:lang w:val="en-US" w:eastAsia="zh-CN"/>
        </w:rPr>
        <w:t>具体产出指标完成情况如下表所示：</w:t>
      </w:r>
    </w:p>
    <w:p w14:paraId="211745A4">
      <w:pPr>
        <w:spacing w:line="560" w:lineRule="exact"/>
        <w:jc w:val="center"/>
        <w:rPr>
          <w:rFonts w:hint="default" w:ascii="仿宋_GB2312" w:hAnsi="仿宋_GB2312" w:eastAsia="仿宋_GB2312" w:cs="仿宋_GB2312"/>
          <w:kern w:val="44"/>
          <w:sz w:val="32"/>
          <w:szCs w:val="32"/>
          <w:highlight w:val="yellow"/>
          <w:lang w:val="en-US" w:eastAsia="zh-CN"/>
        </w:rPr>
      </w:pPr>
      <w:r>
        <w:rPr>
          <w:rFonts w:hint="eastAsia" w:ascii="黑体" w:hAnsi="黑体" w:eastAsia="黑体" w:cs="黑体"/>
          <w:bCs/>
          <w:sz w:val="28"/>
          <w:szCs w:val="28"/>
          <w:lang w:val="en-US" w:eastAsia="zh-CN"/>
        </w:rPr>
        <w:t xml:space="preserve">表3 </w:t>
      </w:r>
      <w:r>
        <w:rPr>
          <w:rFonts w:hint="eastAsia" w:ascii="黑体" w:hAnsi="黑体" w:eastAsia="黑体" w:cs="黑体"/>
          <w:bCs/>
          <w:sz w:val="28"/>
          <w:szCs w:val="28"/>
        </w:rPr>
        <w:t>项目</w:t>
      </w:r>
      <w:r>
        <w:rPr>
          <w:rFonts w:hint="eastAsia" w:ascii="黑体" w:hAnsi="黑体" w:eastAsia="黑体" w:cs="黑体"/>
          <w:bCs/>
          <w:sz w:val="28"/>
          <w:szCs w:val="28"/>
          <w:lang w:val="en-US" w:eastAsia="zh-CN"/>
        </w:rPr>
        <w:t>具体产出指标完成情况表</w:t>
      </w:r>
    </w:p>
    <w:tbl>
      <w:tblPr>
        <w:tblStyle w:val="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2"/>
        <w:gridCol w:w="1618"/>
        <w:gridCol w:w="2098"/>
        <w:gridCol w:w="2138"/>
        <w:gridCol w:w="1959"/>
      </w:tblGrid>
      <w:tr w14:paraId="433D4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21A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一级指标</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823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F50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三级指标</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7CB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指标值</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11DC">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完成值</w:t>
            </w:r>
          </w:p>
        </w:tc>
      </w:tr>
      <w:tr w14:paraId="504BF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8FB6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39CC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5C14D">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C0FF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≤12月份</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D274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12月份</w:t>
            </w:r>
          </w:p>
        </w:tc>
      </w:tr>
      <w:tr w14:paraId="70B9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9D2A5">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55CD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E90E5">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材料印刷数量</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B24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≥1500份</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72E9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1500份</w:t>
            </w:r>
          </w:p>
        </w:tc>
      </w:tr>
      <w:tr w14:paraId="37D59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88A9C">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FB1CE">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74530">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购买课程资源数量</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EC61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≥20个</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F2E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 个</w:t>
            </w:r>
          </w:p>
        </w:tc>
      </w:tr>
      <w:tr w14:paraId="151BB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2BDC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09EDF">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DD779">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开展会议次数</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536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57C80">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772C3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36D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472B0">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F44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开展培训次数</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4EA4">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ACE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6A8AF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3FE0C">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90A3C">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EAFA8">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课程成果推广(对重点项目的区域  层面的推广)</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4DEC3">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910E">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4次</w:t>
            </w:r>
          </w:p>
        </w:tc>
      </w:tr>
      <w:tr w14:paraId="51EBD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431FE">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7DD24">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2A73A">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培养骨干教师/研究型教师数量</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D29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≥100名</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2501">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100名</w:t>
            </w:r>
          </w:p>
        </w:tc>
      </w:tr>
      <w:tr w14:paraId="000A5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FB53E">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213F4">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9E57F">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校本课程开发数量</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9113D">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≥5门</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D8AF">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5门</w:t>
            </w:r>
          </w:p>
        </w:tc>
      </w:tr>
      <w:tr w14:paraId="7E39F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4F8BA">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21C6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93783">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验收合格率</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F318">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0A7A">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51F1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BD460">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8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75DFE">
            <w:pPr>
              <w:keepNext w:val="0"/>
              <w:keepLines w:val="0"/>
              <w:pageBreakBefore w:val="0"/>
              <w:widowControl/>
              <w:kinsoku/>
              <w:wordWrap/>
              <w:overflowPunct/>
              <w:topLinePunct w:val="0"/>
              <w:autoSpaceDE/>
              <w:autoSpaceDN/>
              <w:bidi w:val="0"/>
              <w:adjustRightInd/>
              <w:snapToGrid/>
              <w:jc w:val="center"/>
              <w:rPr>
                <w:rFonts w:hint="eastAsia" w:ascii="宋体" w:hAnsi="宋体" w:eastAsia="宋体" w:cs="宋体"/>
                <w:i w:val="0"/>
                <w:iCs w:val="0"/>
                <w:color w:val="000000"/>
                <w:sz w:val="20"/>
                <w:szCs w:val="20"/>
                <w:u w:val="none"/>
              </w:rPr>
            </w:pP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F0EE6">
            <w:pPr>
              <w:keepNext w:val="0"/>
              <w:keepLines w:val="0"/>
              <w:pageBreakBefore w:val="0"/>
              <w:widowControl/>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资金使用符合要求</w:t>
            </w:r>
          </w:p>
        </w:tc>
        <w:tc>
          <w:tcPr>
            <w:tcW w:w="1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43576">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B1629">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优</w:t>
            </w:r>
          </w:p>
        </w:tc>
      </w:tr>
    </w:tbl>
    <w:p w14:paraId="60581E44">
      <w:pPr>
        <w:adjustRightInd w:val="0"/>
        <w:snapToGrid w:val="0"/>
        <w:spacing w:line="360" w:lineRule="auto"/>
        <w:rPr>
          <w:rFonts w:hint="default" w:ascii="仿宋_GB2312" w:hAnsi="仿宋_GB2312" w:eastAsia="仿宋_GB2312" w:cs="仿宋_GB2312"/>
          <w:kern w:val="44"/>
          <w:sz w:val="32"/>
          <w:szCs w:val="32"/>
          <w:highlight w:val="yellow"/>
          <w:lang w:val="en-US" w:eastAsia="zh-CN"/>
        </w:rPr>
      </w:pPr>
    </w:p>
    <w:p w14:paraId="2DE5D41C">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_GB2312" w:hAnsi="Arial" w:eastAsia="楷体_GB2312" w:cs="Arial"/>
          <w:bCs/>
          <w:sz w:val="32"/>
          <w:szCs w:val="32"/>
        </w:rPr>
      </w:pPr>
      <w:bookmarkStart w:id="64" w:name="_Toc1712587048"/>
      <w:r>
        <w:rPr>
          <w:rFonts w:hint="eastAsia" w:ascii="楷体_GB2312" w:hAnsi="Arial" w:eastAsia="楷体_GB2312" w:cs="Arial"/>
          <w:bCs/>
          <w:sz w:val="32"/>
          <w:szCs w:val="32"/>
        </w:rPr>
        <w:t>（二）效益</w:t>
      </w:r>
      <w:bookmarkEnd w:id="64"/>
    </w:p>
    <w:p w14:paraId="016D4767">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本项目围绕既定目标，扎实推进各项工作，有效推动海淀区地方课程和校本课程建设的可持续发展，为区域教育改革实验研究搭建平台，培养具有研究意识和研究能力的骨干教师/研究型教师，起到了显著成效。我校教学改革深化，形成“素养导向课堂”模式，核心课程获北京市特色课程认证。构建课程资源库、学科基地，为区域教改提供平台，示范辐射效果显著，帮扶内蒙古科右前旗二中等校，获央视报道。通过资源建设、课程创新、教学改革等实际成效，切实提升了教师教学与学校办学水平，校本教研方面取得了较多科研成果，充分彰显了在基础教育改革中的示范引领地位。</w:t>
      </w:r>
    </w:p>
    <w:p w14:paraId="436BCF62">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在课程资源库建设方面，项目进一步完善了学习任务资源库，不仅整合提炼了前期积累的学习任务资源，还形成了经典任务模型，同时匹配了丰富的资源、工具和脚手架，供教师们参考使用。学校还构建了命题诊断资源库，涵盖高考重点考察的学科能力、核心素养及变化趋势等内容，并结合真实情境库，促进教学评一体化。此外，学校精心设计了作业资源库，聚焦学习目标，注重激发学生学习兴趣，将作业形式从传统的练习题拓展到单元学习任务、团队活动、开放型作业等，全面助力学生发展核心素养。各个学科还开展了“基于新高考新课程新教材的课例、作业设计、命题设计、学习路径研究”，生成了大量的案例。学校层面组织了针对这四个方面的征集和评审活动，总计征集案例共计265个，评选出104个优秀案例，其中包括33个课例、11个作业设计、55个命题设计和5个学习路径案例。这些优秀案例不仅在学科内部分享，还分享给联盟学校的教师，实现了示范辐射。基于这些优秀学习资源，在2024年5月30日的学术之夜上进行了发布，引起了良好反响。</w:t>
      </w:r>
    </w:p>
    <w:p w14:paraId="0C5BA29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在特色课程群建设上，学校以国家课程标准为基础，加强科学与工程、人文与社会课程群的实践与创新。新开设了多门课程，如“无人驾驶智能小车”“物理高端实验课程”“芯片制造”“微观世界”“玩转化学”课程以及《音乐剧High School Musical》，其中音乐剧课程获得了北京市普通高中特色课程的荣誉。同时，学校还丰富了实验实践和多语种课程，为学生提供了更多样化的学习选择。</w:t>
      </w:r>
    </w:p>
    <w:p w14:paraId="4755894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在教学实践研究方面，学校以课例研究为切入点，提取学习发生的关键环节，沉淀任务设计的有效经验，形成了多种具有普适性的工具和模型，如促进学生理解的“六个侧面”和设计基于真实情境学习任务的GRASPS模型等，为教学实践提供了有力支持。学校还组织了针对课例、作业设计、命题设计、学习路径研究的征集和评审活动，推动了教师间的交流与合作，提升了教学质量。学校着力推动在各个学科以真实问题作为出发点，进行跨学科的探索，相关案例“北京中轴线文化的PBL项目式学习研究”“核心素养下的研究性学习课程设计与实施——可降解高分子材料的制备与研究”“《设计并制作血氧仪》跨学科项目式学习案例”“手工制作麦芽糖”“促进核心素养融合发展的跨学科教学案例——《基于真实情境制作简易制氧机》”获得了市区中小学“跨学科主题学习”典型案例征集评选活动奖项。“高中人文与社会融合课程建设与实践”获得了海淀区基础教育课程建设优秀成果三等奖。这些成果展示了学校在教学实践研究方面的深入探索和创新实践。所有上述的研究成果都会汇总编写了学生使用的国家教材配套使用的学习指南之中，给学生提供丰富的学习资源，促进新课程新教材真正的落地实施。</w:t>
      </w:r>
    </w:p>
    <w:p w14:paraId="72AC37A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在教师专业素养培训方面，学校通过教学沙龙、新教师读书分享会、学术之夜等多种形式的培训交流活动，持续提升教师在课程建设、教与学变革、资源建设与应用、评价改革等方面的专业素养。例如：举办以“以学为中心的课堂实践”为主题的教学沙龙，由成熟教师结合自身教学经验，展示如何将课堂重心从教师讲授转移到学生学习上，通过小组合作探究、问题导向学习等教学策略，引导老师们重新设计课堂流程，提升在教学设计中落实以学生为中心理念的能力，进而推动教与学的变革。举办“‘从教到学’优秀学习资源分享会”主题的学术之夜：吕甜心老师分享“用数学‘管理’健康身材”，将数学知识与生活实际相结合，展示如何开发趣味性学习资源；卢未珂老师以“用单元作业撬动课堂学习”为内容，介绍单元作业设计思路，助力教师优化作业这一教学资源。赵通老师分享“从学生生长的高考历史命题”，谭凌鹰老师带来”指向目标达成的自我诊断工具”，从课程评价角度为教师提供新的思路和方法。通过这些分享，教师们拓宽了在课程建设、资源建设与应用、评价改革等方面的视野，吸收优秀经验，提升专业素养。2024年，老师们共申请了65项课题和项目，其中大部分与新课程新教材的实施密切相关。</w:t>
      </w:r>
    </w:p>
    <w:p w14:paraId="2BDDEE2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在成果推广方面，学校充分发挥引领示范作用，通过网络推广、对口帮扶等形式，将学校的先进教育理念、教学方法和课程资源与更多学校共享，促进了教育的均衡发展。开展帮扶活动4次，面向联盟学校北京市怀柔区九渡河小学、北京亦庄实验中学、北京密云区不老屯中学、北京十一晋元中学，助力联盟学校提升教育质量。</w:t>
      </w:r>
    </w:p>
    <w:p w14:paraId="104DCDB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此外，我们还在8月份召开了面向全国的教育年会。本次教育年会以“创造适合每一位学生发展的教育”为主题，分享课例研究，作业设计、学科考试命题、学习诊断分析、学习任务设计、分布式领导育人、服务育人的实践，厘清新学年的研究重点与难点，助推学校战略目标的实现。在“创造适合每一位学生发展的教育”的探索中，全体党员以身作则，充分发挥先锋模范带头作用，领导团队的老师以立德树人为根本任务，深入探索“创造适合每一位学生的教育”的痛点与难点。13个学科做了学科发布会，同时还有“能力素养的确立与实施落地"的主题分享116 位老师做了学习成长论坛，315 位教师进行了海报展示。</w:t>
      </w:r>
    </w:p>
    <w:p w14:paraId="628F0836">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640" w:firstLineChars="200"/>
        <w:textAlignment w:val="auto"/>
        <w:outlineLvl w:val="0"/>
        <w:rPr>
          <w:rFonts w:hint="eastAsia" w:ascii="黑体" w:hAnsi="黑体" w:eastAsia="黑体"/>
          <w:sz w:val="32"/>
          <w:szCs w:val="32"/>
        </w:rPr>
      </w:pPr>
      <w:bookmarkStart w:id="65" w:name="_Toc727194995"/>
      <w:r>
        <w:rPr>
          <w:rFonts w:hint="eastAsia" w:ascii="黑体" w:hAnsi="黑体" w:eastAsia="黑体"/>
          <w:sz w:val="32"/>
          <w:szCs w:val="32"/>
        </w:rPr>
        <w:t>存在的主要问题</w:t>
      </w:r>
      <w:bookmarkEnd w:id="65"/>
    </w:p>
    <w:p w14:paraId="22D738D4">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kern w:val="44"/>
          <w:sz w:val="32"/>
          <w:szCs w:val="32"/>
          <w:lang w:val="en-US" w:eastAsia="zh-CN"/>
        </w:rPr>
      </w:pPr>
      <w:r>
        <w:rPr>
          <w:rFonts w:hint="eastAsia" w:ascii="仿宋_GB2312" w:hAnsi="仿宋_GB2312" w:eastAsia="仿宋_GB2312" w:cs="仿宋_GB2312"/>
          <w:kern w:val="44"/>
          <w:sz w:val="32"/>
          <w:szCs w:val="32"/>
          <w:lang w:val="en-US" w:eastAsia="zh-CN"/>
        </w:rPr>
        <w:t>项目产出成效事项颇多，涉及22个课程、9个学科、104个案例等，相应的绩效资料较为分散，未能进行系统整理归集和深入挖掘潜在价值，一定程度上不利于项目实际成效的充分展现。另外项目实施满意度未进行系统有效采集和量化，无法直观反映项目实施满意度结果。</w:t>
      </w:r>
    </w:p>
    <w:p w14:paraId="5664BA75">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640" w:firstLineChars="200"/>
        <w:textAlignment w:val="auto"/>
        <w:outlineLvl w:val="0"/>
        <w:rPr>
          <w:rFonts w:hint="eastAsia" w:ascii="黑体" w:hAnsi="黑体" w:eastAsia="黑体"/>
          <w:sz w:val="32"/>
          <w:szCs w:val="32"/>
        </w:rPr>
      </w:pPr>
      <w:bookmarkStart w:id="66" w:name="_Toc636845888"/>
      <w:r>
        <w:rPr>
          <w:rFonts w:hint="eastAsia" w:ascii="黑体" w:hAnsi="黑体" w:eastAsia="黑体"/>
          <w:sz w:val="32"/>
          <w:szCs w:val="32"/>
        </w:rPr>
        <w:t>下一步工作措施</w:t>
      </w:r>
      <w:bookmarkEnd w:id="66"/>
    </w:p>
    <w:p w14:paraId="32E77E2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lang w:val="en-US"/>
        </w:rPr>
      </w:pPr>
      <w:r>
        <w:rPr>
          <w:rFonts w:hint="eastAsia" w:ascii="仿宋_GB2312" w:hAnsi="仿宋_GB2312" w:eastAsia="仿宋_GB2312" w:cs="仿宋_GB2312"/>
          <w:kern w:val="44"/>
          <w:sz w:val="32"/>
          <w:szCs w:val="32"/>
          <w:lang w:val="en-US" w:eastAsia="zh-CN"/>
        </w:rPr>
        <w:t>下一步工作中，我校将进一步全面梳理既有成果，深入分析挖掘成果自身与成果之间的核心价值，以助力形成“海淀经验”“海淀标准”。往后项目实施过程中，进一步加强绩效理念，注意系统设计和归集项目绩效资料，有意识地采集项目实施满意度反馈信息，为项目进一步完善和后续实施提供宝贵借鉴。</w:t>
      </w:r>
    </w:p>
    <w:p w14:paraId="00444F3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0"/>
        <w:rPr>
          <w:rFonts w:hint="eastAsia" w:ascii="黑体" w:hAnsi="黑体" w:eastAsia="黑体"/>
          <w:sz w:val="32"/>
          <w:szCs w:val="32"/>
        </w:rPr>
      </w:pPr>
      <w:bookmarkStart w:id="67" w:name="_Toc410342968"/>
      <w:r>
        <w:rPr>
          <w:rFonts w:hint="eastAsia" w:ascii="黑体" w:hAnsi="黑体" w:eastAsia="黑体"/>
          <w:sz w:val="32"/>
          <w:szCs w:val="32"/>
        </w:rPr>
        <w:t>七、附件</w:t>
      </w:r>
      <w:bookmarkEnd w:id="67"/>
    </w:p>
    <w:p w14:paraId="221491CE">
      <w:pPr>
        <w:adjustRightInd w:val="0"/>
        <w:snapToGrid w:val="0"/>
        <w:spacing w:line="360" w:lineRule="auto"/>
        <w:ind w:firstLine="640" w:firstLineChars="200"/>
        <w:rPr>
          <w:rFonts w:ascii="仿宋_GB2312" w:hAnsi="宋体" w:eastAsia="仿宋_GB2312"/>
          <w:sz w:val="32"/>
          <w:szCs w:val="32"/>
        </w:rPr>
      </w:pPr>
      <w:r>
        <w:rPr>
          <w:rFonts w:hint="eastAsia" w:ascii="仿宋_GB2312" w:hAnsi="Arial" w:eastAsia="仿宋_GB2312" w:cs="Arial"/>
          <w:bCs/>
          <w:sz w:val="32"/>
          <w:szCs w:val="32"/>
        </w:rPr>
        <w:t>双新示范校背景下学校深化改革的实践探索</w:t>
      </w:r>
      <w:r>
        <w:rPr>
          <w:rFonts w:hint="eastAsia" w:ascii="仿宋_GB2312" w:hAnsi="宋体" w:eastAsia="仿宋_GB2312"/>
          <w:sz w:val="32"/>
          <w:szCs w:val="32"/>
        </w:rPr>
        <w:t>项目绩效自评指标体系及评分表</w:t>
      </w:r>
    </w:p>
    <w:p w14:paraId="2E56444C">
      <w:pPr>
        <w:widowControl/>
        <w:jc w:val="left"/>
        <w:rPr>
          <w:rFonts w:ascii="仿宋_GB2312" w:hAnsi="宋体" w:eastAsia="仿宋_GB2312"/>
          <w:sz w:val="32"/>
          <w:szCs w:val="32"/>
        </w:rPr>
      </w:pPr>
      <w:r>
        <w:rPr>
          <w:rFonts w:ascii="仿宋_GB2312" w:hAnsi="宋体" w:eastAsia="仿宋_GB2312"/>
          <w:sz w:val="32"/>
          <w:szCs w:val="32"/>
        </w:rPr>
        <w:br w:type="page"/>
      </w:r>
    </w:p>
    <w:p w14:paraId="000E2293">
      <w:pPr>
        <w:adjustRightInd w:val="0"/>
        <w:snapToGrid w:val="0"/>
        <w:spacing w:line="360" w:lineRule="auto"/>
        <w:jc w:val="left"/>
        <w:outlineLvl w:val="0"/>
        <w:rPr>
          <w:rFonts w:ascii="黑体" w:hAnsi="黑体" w:eastAsia="黑体"/>
          <w:sz w:val="32"/>
          <w:szCs w:val="32"/>
        </w:rPr>
      </w:pPr>
      <w:bookmarkStart w:id="68" w:name="_Toc1064272659"/>
      <w:r>
        <w:rPr>
          <w:rFonts w:hint="eastAsia" w:ascii="黑体" w:hAnsi="黑体" w:eastAsia="黑体"/>
          <w:sz w:val="32"/>
          <w:szCs w:val="32"/>
        </w:rPr>
        <w:t>附件</w:t>
      </w:r>
      <w:bookmarkEnd w:id="68"/>
    </w:p>
    <w:p w14:paraId="23A3E6DE">
      <w:pPr>
        <w:overflowPunct w:val="0"/>
        <w:spacing w:line="560" w:lineRule="exact"/>
        <w:jc w:val="center"/>
        <w:rPr>
          <w:rFonts w:hint="eastAsia" w:ascii="方正小标宋简体" w:hAnsi="方正小标宋简体" w:eastAsia="方正小标宋简体" w:cs="方正小标宋简体"/>
          <w:sz w:val="44"/>
          <w:szCs w:val="28"/>
        </w:rPr>
      </w:pPr>
      <w:r>
        <w:rPr>
          <w:rFonts w:hint="eastAsia" w:ascii="方正小标宋简体" w:hAnsi="方正小标宋简体" w:eastAsia="方正小标宋简体" w:cs="方正小标宋简体"/>
          <w:sz w:val="44"/>
          <w:szCs w:val="28"/>
        </w:rPr>
        <w:t>双新示范校背景下学校深化改革的实践探索</w:t>
      </w:r>
      <w:r>
        <w:rPr>
          <w:rFonts w:hint="eastAsia" w:ascii="方正小标宋简体" w:hAnsi="方正小标宋简体" w:eastAsia="方正小标宋简体" w:cs="方正小标宋简体"/>
          <w:sz w:val="44"/>
          <w:szCs w:val="28"/>
          <w:lang w:val="en-US" w:eastAsia="zh-CN"/>
        </w:rPr>
        <w:t>项目</w:t>
      </w:r>
      <w:r>
        <w:rPr>
          <w:rFonts w:hint="eastAsia" w:ascii="方正小标宋简体" w:hAnsi="方正小标宋简体" w:eastAsia="方正小标宋简体" w:cs="方正小标宋简体"/>
          <w:sz w:val="44"/>
          <w:szCs w:val="28"/>
        </w:rPr>
        <w:t>绩效自评指标体系及评分表</w:t>
      </w:r>
    </w:p>
    <w:p w14:paraId="3A9EC8AC">
      <w:pPr>
        <w:adjustRightInd w:val="0"/>
        <w:snapToGrid w:val="0"/>
        <w:jc w:val="center"/>
        <w:rPr>
          <w:rFonts w:asciiTheme="minorEastAsia" w:hAnsiTheme="minorEastAsia"/>
          <w:b/>
          <w:sz w:val="28"/>
          <w:szCs w:val="28"/>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34"/>
        <w:gridCol w:w="708"/>
        <w:gridCol w:w="1843"/>
        <w:gridCol w:w="709"/>
        <w:gridCol w:w="857"/>
        <w:gridCol w:w="2170"/>
      </w:tblGrid>
      <w:tr w14:paraId="4E53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101" w:type="dxa"/>
            <w:vAlign w:val="center"/>
          </w:tcPr>
          <w:p w14:paraId="418AAA8D">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一级指标</w:t>
            </w:r>
          </w:p>
        </w:tc>
        <w:tc>
          <w:tcPr>
            <w:tcW w:w="1134" w:type="dxa"/>
            <w:vAlign w:val="center"/>
          </w:tcPr>
          <w:p w14:paraId="59622BB6">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二级指标</w:t>
            </w:r>
          </w:p>
        </w:tc>
        <w:tc>
          <w:tcPr>
            <w:tcW w:w="708" w:type="dxa"/>
            <w:vAlign w:val="center"/>
          </w:tcPr>
          <w:p w14:paraId="176311B2">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分值</w:t>
            </w:r>
          </w:p>
        </w:tc>
        <w:tc>
          <w:tcPr>
            <w:tcW w:w="1843" w:type="dxa"/>
            <w:vAlign w:val="center"/>
          </w:tcPr>
          <w:p w14:paraId="2A870A0C">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三级指标</w:t>
            </w:r>
          </w:p>
        </w:tc>
        <w:tc>
          <w:tcPr>
            <w:tcW w:w="709" w:type="dxa"/>
            <w:vAlign w:val="center"/>
          </w:tcPr>
          <w:p w14:paraId="2EB29BEA">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分值</w:t>
            </w:r>
          </w:p>
        </w:tc>
        <w:tc>
          <w:tcPr>
            <w:tcW w:w="857" w:type="dxa"/>
            <w:vAlign w:val="center"/>
          </w:tcPr>
          <w:p w14:paraId="6870A4A0">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评分</w:t>
            </w:r>
          </w:p>
        </w:tc>
        <w:tc>
          <w:tcPr>
            <w:tcW w:w="2170" w:type="dxa"/>
            <w:vAlign w:val="center"/>
          </w:tcPr>
          <w:p w14:paraId="1068F8B3">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b/>
                <w:bCs/>
                <w:color w:val="auto"/>
                <w:kern w:val="0"/>
                <w:sz w:val="20"/>
                <w:szCs w:val="20"/>
              </w:rPr>
              <w:t>扣分理由</w:t>
            </w:r>
          </w:p>
        </w:tc>
      </w:tr>
      <w:tr w14:paraId="03F1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restart"/>
            <w:vAlign w:val="center"/>
          </w:tcPr>
          <w:p w14:paraId="42CA49CC">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决策</w:t>
            </w:r>
          </w:p>
          <w:p w14:paraId="1D8768E5">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（10分）</w:t>
            </w:r>
          </w:p>
        </w:tc>
        <w:tc>
          <w:tcPr>
            <w:tcW w:w="1134" w:type="dxa"/>
            <w:vMerge w:val="restart"/>
            <w:vAlign w:val="center"/>
          </w:tcPr>
          <w:p w14:paraId="0DAAC1EF">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项目立项</w:t>
            </w:r>
          </w:p>
        </w:tc>
        <w:tc>
          <w:tcPr>
            <w:tcW w:w="708" w:type="dxa"/>
            <w:vMerge w:val="restart"/>
            <w:vAlign w:val="center"/>
          </w:tcPr>
          <w:p w14:paraId="66A5BE6F">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sz w:val="20"/>
                <w:szCs w:val="20"/>
              </w:rPr>
              <w:t>3</w:t>
            </w:r>
          </w:p>
        </w:tc>
        <w:tc>
          <w:tcPr>
            <w:tcW w:w="1843" w:type="dxa"/>
            <w:vAlign w:val="center"/>
          </w:tcPr>
          <w:p w14:paraId="23161F44">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立项依据充分性</w:t>
            </w:r>
          </w:p>
        </w:tc>
        <w:tc>
          <w:tcPr>
            <w:tcW w:w="709" w:type="dxa"/>
            <w:vAlign w:val="center"/>
          </w:tcPr>
          <w:p w14:paraId="77D9FC96">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2</w:t>
            </w:r>
          </w:p>
        </w:tc>
        <w:tc>
          <w:tcPr>
            <w:tcW w:w="857" w:type="dxa"/>
            <w:vAlign w:val="center"/>
          </w:tcPr>
          <w:p w14:paraId="78732595">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2</w:t>
            </w:r>
          </w:p>
        </w:tc>
        <w:tc>
          <w:tcPr>
            <w:tcW w:w="2170" w:type="dxa"/>
            <w:vAlign w:val="center"/>
          </w:tcPr>
          <w:p w14:paraId="148387F6">
            <w:pPr>
              <w:jc w:val="left"/>
              <w:rPr>
                <w:rFonts w:hint="eastAsia" w:asciiTheme="minorEastAsia" w:hAnsiTheme="minorEastAsia" w:eastAsiaTheme="minorEastAsia" w:cstheme="minorEastAsia"/>
                <w:bCs/>
                <w:color w:val="auto"/>
                <w:kern w:val="0"/>
                <w:sz w:val="20"/>
                <w:szCs w:val="20"/>
              </w:rPr>
            </w:pPr>
          </w:p>
        </w:tc>
      </w:tr>
      <w:tr w14:paraId="1AA5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016BE620">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36DCF639">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69C6112B">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32A67E5F">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立项程序规范性</w:t>
            </w:r>
          </w:p>
        </w:tc>
        <w:tc>
          <w:tcPr>
            <w:tcW w:w="709" w:type="dxa"/>
            <w:vAlign w:val="center"/>
          </w:tcPr>
          <w:p w14:paraId="5900D4A1">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1</w:t>
            </w:r>
          </w:p>
        </w:tc>
        <w:tc>
          <w:tcPr>
            <w:tcW w:w="857" w:type="dxa"/>
            <w:vAlign w:val="center"/>
          </w:tcPr>
          <w:p w14:paraId="4ADFCC83">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1</w:t>
            </w:r>
          </w:p>
        </w:tc>
        <w:tc>
          <w:tcPr>
            <w:tcW w:w="2170" w:type="dxa"/>
            <w:vAlign w:val="center"/>
          </w:tcPr>
          <w:p w14:paraId="5C9D6087">
            <w:pPr>
              <w:jc w:val="left"/>
              <w:rPr>
                <w:rFonts w:hint="eastAsia" w:asciiTheme="minorEastAsia" w:hAnsiTheme="minorEastAsia" w:eastAsiaTheme="minorEastAsia" w:cstheme="minorEastAsia"/>
                <w:bCs/>
                <w:color w:val="auto"/>
                <w:kern w:val="0"/>
                <w:sz w:val="20"/>
                <w:szCs w:val="20"/>
              </w:rPr>
            </w:pPr>
          </w:p>
        </w:tc>
      </w:tr>
      <w:tr w14:paraId="40EE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01E078F1">
            <w:pPr>
              <w:jc w:val="center"/>
              <w:rPr>
                <w:rFonts w:hint="eastAsia" w:asciiTheme="minorEastAsia" w:hAnsiTheme="minorEastAsia" w:eastAsiaTheme="minorEastAsia" w:cstheme="minorEastAsia"/>
                <w:b/>
                <w:bCs/>
                <w:color w:val="auto"/>
                <w:kern w:val="0"/>
                <w:sz w:val="20"/>
                <w:szCs w:val="20"/>
              </w:rPr>
            </w:pPr>
          </w:p>
        </w:tc>
        <w:tc>
          <w:tcPr>
            <w:tcW w:w="1134" w:type="dxa"/>
            <w:vMerge w:val="restart"/>
            <w:vAlign w:val="center"/>
          </w:tcPr>
          <w:p w14:paraId="460C3732">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绩效目标</w:t>
            </w:r>
          </w:p>
        </w:tc>
        <w:tc>
          <w:tcPr>
            <w:tcW w:w="708" w:type="dxa"/>
            <w:vMerge w:val="restart"/>
            <w:vAlign w:val="center"/>
          </w:tcPr>
          <w:p w14:paraId="578653F3">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sz w:val="20"/>
                <w:szCs w:val="20"/>
              </w:rPr>
              <w:t>4</w:t>
            </w:r>
          </w:p>
        </w:tc>
        <w:tc>
          <w:tcPr>
            <w:tcW w:w="1843" w:type="dxa"/>
            <w:vAlign w:val="center"/>
          </w:tcPr>
          <w:p w14:paraId="11830CF8">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绩效目标合理性</w:t>
            </w:r>
          </w:p>
        </w:tc>
        <w:tc>
          <w:tcPr>
            <w:tcW w:w="709" w:type="dxa"/>
            <w:vAlign w:val="center"/>
          </w:tcPr>
          <w:p w14:paraId="4DCC2174">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2</w:t>
            </w:r>
          </w:p>
        </w:tc>
        <w:tc>
          <w:tcPr>
            <w:tcW w:w="857" w:type="dxa"/>
            <w:vAlign w:val="center"/>
          </w:tcPr>
          <w:p w14:paraId="7D07D3F4">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2</w:t>
            </w:r>
          </w:p>
        </w:tc>
        <w:tc>
          <w:tcPr>
            <w:tcW w:w="2170" w:type="dxa"/>
            <w:vAlign w:val="center"/>
          </w:tcPr>
          <w:p w14:paraId="1E241C23">
            <w:pPr>
              <w:jc w:val="left"/>
              <w:rPr>
                <w:rFonts w:hint="eastAsia" w:asciiTheme="minorEastAsia" w:hAnsiTheme="minorEastAsia" w:eastAsiaTheme="minorEastAsia" w:cstheme="minorEastAsia"/>
                <w:bCs/>
                <w:color w:val="auto"/>
                <w:kern w:val="0"/>
                <w:sz w:val="20"/>
                <w:szCs w:val="20"/>
              </w:rPr>
            </w:pPr>
          </w:p>
        </w:tc>
      </w:tr>
      <w:tr w14:paraId="2B54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66A4608F">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6CE72199">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07A8CAD9">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103D6E85">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绩效指标明确性</w:t>
            </w:r>
          </w:p>
        </w:tc>
        <w:tc>
          <w:tcPr>
            <w:tcW w:w="709" w:type="dxa"/>
            <w:vAlign w:val="center"/>
          </w:tcPr>
          <w:p w14:paraId="64B11FF5">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2</w:t>
            </w:r>
          </w:p>
        </w:tc>
        <w:tc>
          <w:tcPr>
            <w:tcW w:w="857" w:type="dxa"/>
            <w:vAlign w:val="center"/>
          </w:tcPr>
          <w:p w14:paraId="167B95A8">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2</w:t>
            </w:r>
          </w:p>
        </w:tc>
        <w:tc>
          <w:tcPr>
            <w:tcW w:w="2170" w:type="dxa"/>
            <w:vAlign w:val="center"/>
          </w:tcPr>
          <w:p w14:paraId="105DC9CC">
            <w:pPr>
              <w:jc w:val="left"/>
              <w:rPr>
                <w:rFonts w:hint="eastAsia" w:asciiTheme="minorEastAsia" w:hAnsiTheme="minorEastAsia" w:eastAsiaTheme="minorEastAsia" w:cstheme="minorEastAsia"/>
                <w:bCs/>
                <w:color w:val="auto"/>
                <w:kern w:val="0"/>
                <w:sz w:val="20"/>
                <w:szCs w:val="20"/>
              </w:rPr>
            </w:pPr>
          </w:p>
        </w:tc>
      </w:tr>
      <w:tr w14:paraId="0B31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42CDEA87">
            <w:pPr>
              <w:jc w:val="center"/>
              <w:rPr>
                <w:rFonts w:hint="eastAsia" w:asciiTheme="minorEastAsia" w:hAnsiTheme="minorEastAsia" w:eastAsiaTheme="minorEastAsia" w:cstheme="minorEastAsia"/>
                <w:b/>
                <w:bCs/>
                <w:color w:val="auto"/>
                <w:kern w:val="0"/>
                <w:sz w:val="20"/>
                <w:szCs w:val="20"/>
              </w:rPr>
            </w:pPr>
          </w:p>
        </w:tc>
        <w:tc>
          <w:tcPr>
            <w:tcW w:w="1134" w:type="dxa"/>
            <w:vMerge w:val="restart"/>
            <w:vAlign w:val="center"/>
          </w:tcPr>
          <w:p w14:paraId="3BA844BE">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资金投入</w:t>
            </w:r>
          </w:p>
        </w:tc>
        <w:tc>
          <w:tcPr>
            <w:tcW w:w="708" w:type="dxa"/>
            <w:vMerge w:val="restart"/>
            <w:vAlign w:val="center"/>
          </w:tcPr>
          <w:p w14:paraId="639A24F6">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sz w:val="20"/>
                <w:szCs w:val="20"/>
              </w:rPr>
              <w:t>3</w:t>
            </w:r>
          </w:p>
        </w:tc>
        <w:tc>
          <w:tcPr>
            <w:tcW w:w="1843" w:type="dxa"/>
            <w:vAlign w:val="center"/>
          </w:tcPr>
          <w:p w14:paraId="4053D6BF">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预算编制科学性</w:t>
            </w:r>
          </w:p>
        </w:tc>
        <w:tc>
          <w:tcPr>
            <w:tcW w:w="709" w:type="dxa"/>
            <w:vAlign w:val="center"/>
          </w:tcPr>
          <w:p w14:paraId="1969B62D">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2</w:t>
            </w:r>
          </w:p>
        </w:tc>
        <w:tc>
          <w:tcPr>
            <w:tcW w:w="857" w:type="dxa"/>
            <w:vAlign w:val="center"/>
          </w:tcPr>
          <w:p w14:paraId="2BDBC40F">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rPr>
              <w:t>1.</w:t>
            </w:r>
            <w:r>
              <w:rPr>
                <w:rFonts w:hint="eastAsia" w:asciiTheme="minorEastAsia" w:hAnsiTheme="minorEastAsia" w:eastAsiaTheme="minorEastAsia" w:cstheme="minorEastAsia"/>
                <w:b w:val="0"/>
                <w:bCs/>
                <w:color w:val="auto"/>
                <w:sz w:val="20"/>
                <w:szCs w:val="20"/>
                <w:lang w:val="en-US" w:eastAsia="zh-CN"/>
              </w:rPr>
              <w:t>5</w:t>
            </w:r>
          </w:p>
        </w:tc>
        <w:tc>
          <w:tcPr>
            <w:tcW w:w="2170" w:type="dxa"/>
            <w:vAlign w:val="center"/>
          </w:tcPr>
          <w:p w14:paraId="0CAEDFF9">
            <w:pPr>
              <w:jc w:val="left"/>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rPr>
              <w:t>预算</w:t>
            </w:r>
            <w:r>
              <w:rPr>
                <w:rFonts w:hint="eastAsia" w:asciiTheme="minorEastAsia" w:hAnsiTheme="minorEastAsia" w:eastAsiaTheme="minorEastAsia" w:cstheme="minorEastAsia"/>
                <w:color w:val="auto"/>
                <w:kern w:val="0"/>
                <w:sz w:val="20"/>
                <w:szCs w:val="20"/>
                <w:lang w:val="en-US" w:eastAsia="zh-CN"/>
              </w:rPr>
              <w:t>与执行有所偏差</w:t>
            </w:r>
          </w:p>
        </w:tc>
      </w:tr>
      <w:tr w14:paraId="5295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09E01826">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00B9F7C6">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46A0C822">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609818B9">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资金分配合理性</w:t>
            </w:r>
          </w:p>
        </w:tc>
        <w:tc>
          <w:tcPr>
            <w:tcW w:w="709" w:type="dxa"/>
            <w:vAlign w:val="center"/>
          </w:tcPr>
          <w:p w14:paraId="13CA33D1">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1</w:t>
            </w:r>
          </w:p>
        </w:tc>
        <w:tc>
          <w:tcPr>
            <w:tcW w:w="857" w:type="dxa"/>
            <w:vAlign w:val="center"/>
          </w:tcPr>
          <w:p w14:paraId="4825E72C">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1</w:t>
            </w:r>
          </w:p>
        </w:tc>
        <w:tc>
          <w:tcPr>
            <w:tcW w:w="2170" w:type="dxa"/>
            <w:vAlign w:val="center"/>
          </w:tcPr>
          <w:p w14:paraId="63BACB5A">
            <w:pPr>
              <w:jc w:val="left"/>
              <w:rPr>
                <w:rFonts w:hint="eastAsia" w:asciiTheme="minorEastAsia" w:hAnsiTheme="minorEastAsia" w:eastAsiaTheme="minorEastAsia" w:cstheme="minorEastAsia"/>
                <w:bCs/>
                <w:color w:val="auto"/>
                <w:kern w:val="0"/>
                <w:sz w:val="20"/>
                <w:szCs w:val="20"/>
              </w:rPr>
            </w:pPr>
          </w:p>
        </w:tc>
      </w:tr>
      <w:tr w14:paraId="623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restart"/>
            <w:vAlign w:val="center"/>
          </w:tcPr>
          <w:p w14:paraId="135DEF83">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过程</w:t>
            </w:r>
          </w:p>
          <w:p w14:paraId="58233902">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（20分）</w:t>
            </w:r>
          </w:p>
        </w:tc>
        <w:tc>
          <w:tcPr>
            <w:tcW w:w="1134" w:type="dxa"/>
            <w:vMerge w:val="restart"/>
            <w:vAlign w:val="center"/>
          </w:tcPr>
          <w:p w14:paraId="0E22CACC">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资金管理</w:t>
            </w:r>
          </w:p>
        </w:tc>
        <w:tc>
          <w:tcPr>
            <w:tcW w:w="708" w:type="dxa"/>
            <w:vMerge w:val="restart"/>
            <w:vAlign w:val="center"/>
          </w:tcPr>
          <w:p w14:paraId="302F3F65">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sz w:val="20"/>
                <w:szCs w:val="20"/>
              </w:rPr>
              <w:t>10</w:t>
            </w:r>
          </w:p>
        </w:tc>
        <w:tc>
          <w:tcPr>
            <w:tcW w:w="1843" w:type="dxa"/>
            <w:vAlign w:val="center"/>
          </w:tcPr>
          <w:p w14:paraId="731FED79">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资金到位率</w:t>
            </w:r>
          </w:p>
        </w:tc>
        <w:tc>
          <w:tcPr>
            <w:tcW w:w="709" w:type="dxa"/>
            <w:vAlign w:val="center"/>
          </w:tcPr>
          <w:p w14:paraId="41A74A59">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2</w:t>
            </w:r>
          </w:p>
        </w:tc>
        <w:tc>
          <w:tcPr>
            <w:tcW w:w="857" w:type="dxa"/>
            <w:vAlign w:val="center"/>
          </w:tcPr>
          <w:p w14:paraId="565BD1B7">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 w:val="0"/>
                <w:bCs/>
                <w:color w:val="auto"/>
                <w:sz w:val="20"/>
                <w:szCs w:val="20"/>
              </w:rPr>
              <w:t>2</w:t>
            </w:r>
          </w:p>
        </w:tc>
        <w:tc>
          <w:tcPr>
            <w:tcW w:w="2170" w:type="dxa"/>
            <w:vAlign w:val="center"/>
          </w:tcPr>
          <w:p w14:paraId="5DA76302">
            <w:pPr>
              <w:jc w:val="left"/>
              <w:rPr>
                <w:rFonts w:hint="eastAsia" w:asciiTheme="minorEastAsia" w:hAnsiTheme="minorEastAsia" w:eastAsiaTheme="minorEastAsia" w:cstheme="minorEastAsia"/>
                <w:bCs/>
                <w:color w:val="auto"/>
                <w:kern w:val="0"/>
                <w:sz w:val="20"/>
                <w:szCs w:val="20"/>
              </w:rPr>
            </w:pPr>
          </w:p>
        </w:tc>
      </w:tr>
      <w:tr w14:paraId="1749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537F7ED0">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24D6CE29">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07270600">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0817E8E6">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预算执行率</w:t>
            </w:r>
          </w:p>
        </w:tc>
        <w:tc>
          <w:tcPr>
            <w:tcW w:w="709" w:type="dxa"/>
            <w:vAlign w:val="center"/>
          </w:tcPr>
          <w:p w14:paraId="3B2EC889">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4</w:t>
            </w:r>
          </w:p>
        </w:tc>
        <w:tc>
          <w:tcPr>
            <w:tcW w:w="857" w:type="dxa"/>
            <w:vAlign w:val="center"/>
          </w:tcPr>
          <w:p w14:paraId="1A1D3B96">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4</w:t>
            </w:r>
          </w:p>
        </w:tc>
        <w:tc>
          <w:tcPr>
            <w:tcW w:w="2170" w:type="dxa"/>
            <w:vAlign w:val="center"/>
          </w:tcPr>
          <w:p w14:paraId="5B19922D">
            <w:pPr>
              <w:jc w:val="left"/>
              <w:rPr>
                <w:rFonts w:hint="eastAsia" w:asciiTheme="minorEastAsia" w:hAnsiTheme="minorEastAsia" w:eastAsiaTheme="minorEastAsia" w:cstheme="minorEastAsia"/>
                <w:bCs/>
                <w:color w:val="auto"/>
                <w:kern w:val="0"/>
                <w:sz w:val="20"/>
                <w:szCs w:val="20"/>
              </w:rPr>
            </w:pPr>
          </w:p>
        </w:tc>
      </w:tr>
      <w:tr w14:paraId="606C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3AC1D6C9">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463AC0AF">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7F8B9321">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5DC1D2A3">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资金使用合规性</w:t>
            </w:r>
          </w:p>
        </w:tc>
        <w:tc>
          <w:tcPr>
            <w:tcW w:w="709" w:type="dxa"/>
            <w:vAlign w:val="center"/>
          </w:tcPr>
          <w:p w14:paraId="59B48492">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4</w:t>
            </w:r>
          </w:p>
        </w:tc>
        <w:tc>
          <w:tcPr>
            <w:tcW w:w="857" w:type="dxa"/>
            <w:vAlign w:val="center"/>
          </w:tcPr>
          <w:p w14:paraId="296F2DCA">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4</w:t>
            </w:r>
          </w:p>
        </w:tc>
        <w:tc>
          <w:tcPr>
            <w:tcW w:w="2170" w:type="dxa"/>
            <w:vAlign w:val="center"/>
          </w:tcPr>
          <w:p w14:paraId="0F4A19E5">
            <w:pPr>
              <w:jc w:val="left"/>
              <w:rPr>
                <w:rFonts w:hint="eastAsia" w:asciiTheme="minorEastAsia" w:hAnsiTheme="minorEastAsia" w:eastAsiaTheme="minorEastAsia" w:cstheme="minorEastAsia"/>
                <w:bCs/>
                <w:color w:val="auto"/>
                <w:kern w:val="0"/>
                <w:sz w:val="20"/>
                <w:szCs w:val="20"/>
              </w:rPr>
            </w:pPr>
          </w:p>
        </w:tc>
      </w:tr>
      <w:tr w14:paraId="571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3FEEAEB9">
            <w:pPr>
              <w:jc w:val="center"/>
              <w:rPr>
                <w:rFonts w:hint="eastAsia" w:asciiTheme="minorEastAsia" w:hAnsiTheme="minorEastAsia" w:eastAsiaTheme="minorEastAsia" w:cstheme="minorEastAsia"/>
                <w:b/>
                <w:bCs/>
                <w:color w:val="auto"/>
                <w:kern w:val="0"/>
                <w:sz w:val="20"/>
                <w:szCs w:val="20"/>
              </w:rPr>
            </w:pPr>
          </w:p>
        </w:tc>
        <w:tc>
          <w:tcPr>
            <w:tcW w:w="1134" w:type="dxa"/>
            <w:vMerge w:val="restart"/>
            <w:vAlign w:val="center"/>
          </w:tcPr>
          <w:p w14:paraId="75634202">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组织实施</w:t>
            </w:r>
          </w:p>
        </w:tc>
        <w:tc>
          <w:tcPr>
            <w:tcW w:w="708" w:type="dxa"/>
            <w:vMerge w:val="restart"/>
            <w:vAlign w:val="center"/>
          </w:tcPr>
          <w:p w14:paraId="1FDA60BA">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sz w:val="20"/>
                <w:szCs w:val="20"/>
              </w:rPr>
              <w:t>10</w:t>
            </w:r>
          </w:p>
        </w:tc>
        <w:tc>
          <w:tcPr>
            <w:tcW w:w="1843" w:type="dxa"/>
            <w:vAlign w:val="center"/>
          </w:tcPr>
          <w:p w14:paraId="119A59BF">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管理制度健全性</w:t>
            </w:r>
          </w:p>
        </w:tc>
        <w:tc>
          <w:tcPr>
            <w:tcW w:w="709" w:type="dxa"/>
            <w:vAlign w:val="center"/>
          </w:tcPr>
          <w:p w14:paraId="3724776E">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4</w:t>
            </w:r>
          </w:p>
        </w:tc>
        <w:tc>
          <w:tcPr>
            <w:tcW w:w="857" w:type="dxa"/>
            <w:vAlign w:val="center"/>
          </w:tcPr>
          <w:p w14:paraId="25E722DD">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4</w:t>
            </w:r>
          </w:p>
        </w:tc>
        <w:tc>
          <w:tcPr>
            <w:tcW w:w="2170" w:type="dxa"/>
            <w:vAlign w:val="center"/>
          </w:tcPr>
          <w:p w14:paraId="3A12C108">
            <w:pPr>
              <w:jc w:val="left"/>
              <w:rPr>
                <w:rFonts w:hint="eastAsia" w:asciiTheme="minorEastAsia" w:hAnsiTheme="minorEastAsia" w:eastAsiaTheme="minorEastAsia" w:cstheme="minorEastAsia"/>
                <w:bCs/>
                <w:color w:val="auto"/>
                <w:kern w:val="0"/>
                <w:sz w:val="20"/>
                <w:szCs w:val="20"/>
              </w:rPr>
            </w:pPr>
          </w:p>
        </w:tc>
      </w:tr>
      <w:tr w14:paraId="1B21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4C96C32F">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220AD29B">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46D0FBDE">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598D9D1E">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制度执行有效性</w:t>
            </w:r>
          </w:p>
        </w:tc>
        <w:tc>
          <w:tcPr>
            <w:tcW w:w="709" w:type="dxa"/>
            <w:vAlign w:val="center"/>
          </w:tcPr>
          <w:p w14:paraId="40A08E0C">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6</w:t>
            </w:r>
          </w:p>
        </w:tc>
        <w:tc>
          <w:tcPr>
            <w:tcW w:w="857" w:type="dxa"/>
            <w:vAlign w:val="center"/>
          </w:tcPr>
          <w:p w14:paraId="4152605D">
            <w:pPr>
              <w:jc w:val="center"/>
              <w:rPr>
                <w:rFonts w:hint="eastAsia" w:asciiTheme="minorEastAsia" w:hAnsiTheme="minorEastAsia" w:eastAsiaTheme="minorEastAsia" w:cstheme="minorEastAsia"/>
                <w:bCs/>
                <w:color w:val="auto"/>
                <w:kern w:val="0"/>
                <w:sz w:val="20"/>
                <w:szCs w:val="20"/>
                <w:lang w:eastAsia="zh-CN"/>
              </w:rPr>
            </w:pPr>
            <w:r>
              <w:rPr>
                <w:rFonts w:hint="eastAsia" w:asciiTheme="minorEastAsia" w:hAnsiTheme="minorEastAsia" w:eastAsiaTheme="minorEastAsia" w:cstheme="minorEastAsia"/>
                <w:b w:val="0"/>
                <w:bCs/>
                <w:color w:val="auto"/>
                <w:sz w:val="20"/>
                <w:szCs w:val="20"/>
                <w:lang w:val="en-US" w:eastAsia="zh-CN"/>
              </w:rPr>
              <w:t>6</w:t>
            </w:r>
          </w:p>
        </w:tc>
        <w:tc>
          <w:tcPr>
            <w:tcW w:w="2170" w:type="dxa"/>
            <w:vAlign w:val="center"/>
          </w:tcPr>
          <w:p w14:paraId="35D9968F">
            <w:pPr>
              <w:jc w:val="left"/>
              <w:rPr>
                <w:rFonts w:hint="eastAsia" w:asciiTheme="minorEastAsia" w:hAnsiTheme="minorEastAsia" w:eastAsiaTheme="minorEastAsia" w:cstheme="minorEastAsia"/>
                <w:bCs/>
                <w:color w:val="auto"/>
                <w:kern w:val="0"/>
                <w:sz w:val="20"/>
                <w:szCs w:val="20"/>
              </w:rPr>
            </w:pPr>
          </w:p>
        </w:tc>
      </w:tr>
      <w:tr w14:paraId="2603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restart"/>
            <w:vAlign w:val="center"/>
          </w:tcPr>
          <w:p w14:paraId="272F523D">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产出</w:t>
            </w:r>
          </w:p>
          <w:p w14:paraId="6EA063A9">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（40分）</w:t>
            </w:r>
          </w:p>
        </w:tc>
        <w:tc>
          <w:tcPr>
            <w:tcW w:w="1134" w:type="dxa"/>
            <w:vMerge w:val="restart"/>
            <w:vAlign w:val="center"/>
          </w:tcPr>
          <w:p w14:paraId="20BA8BD8">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产出数量</w:t>
            </w:r>
          </w:p>
        </w:tc>
        <w:tc>
          <w:tcPr>
            <w:tcW w:w="708" w:type="dxa"/>
            <w:vMerge w:val="restart"/>
            <w:vAlign w:val="center"/>
          </w:tcPr>
          <w:p w14:paraId="60EBEF08">
            <w:pPr>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33</w:t>
            </w:r>
          </w:p>
        </w:tc>
        <w:tc>
          <w:tcPr>
            <w:tcW w:w="1843" w:type="dxa"/>
            <w:vAlign w:val="center"/>
          </w:tcPr>
          <w:p w14:paraId="6AABE5D6">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材料印刷数量</w:t>
            </w:r>
          </w:p>
        </w:tc>
        <w:tc>
          <w:tcPr>
            <w:tcW w:w="709" w:type="dxa"/>
            <w:vAlign w:val="center"/>
          </w:tcPr>
          <w:p w14:paraId="45BB649C">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857" w:type="dxa"/>
            <w:vAlign w:val="center"/>
          </w:tcPr>
          <w:p w14:paraId="6AAA52C7">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2170" w:type="dxa"/>
            <w:vAlign w:val="center"/>
          </w:tcPr>
          <w:p w14:paraId="585C08A3">
            <w:pPr>
              <w:jc w:val="left"/>
              <w:rPr>
                <w:rFonts w:hint="eastAsia" w:asciiTheme="minorEastAsia" w:hAnsiTheme="minorEastAsia" w:eastAsiaTheme="minorEastAsia" w:cstheme="minorEastAsia"/>
                <w:bCs/>
                <w:color w:val="auto"/>
                <w:kern w:val="0"/>
                <w:sz w:val="20"/>
                <w:szCs w:val="20"/>
              </w:rPr>
            </w:pPr>
          </w:p>
        </w:tc>
      </w:tr>
      <w:tr w14:paraId="35F7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16CA406C">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760BC788">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78B0D909">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06915281">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购买课程资源数量</w:t>
            </w:r>
          </w:p>
        </w:tc>
        <w:tc>
          <w:tcPr>
            <w:tcW w:w="709" w:type="dxa"/>
            <w:vAlign w:val="center"/>
          </w:tcPr>
          <w:p w14:paraId="09AB869B">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857" w:type="dxa"/>
            <w:vAlign w:val="center"/>
          </w:tcPr>
          <w:p w14:paraId="1AE21FF8">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2170" w:type="dxa"/>
            <w:vAlign w:val="center"/>
          </w:tcPr>
          <w:p w14:paraId="719E0DC2">
            <w:pPr>
              <w:jc w:val="left"/>
              <w:rPr>
                <w:rFonts w:hint="eastAsia" w:asciiTheme="minorEastAsia" w:hAnsiTheme="minorEastAsia" w:eastAsiaTheme="minorEastAsia" w:cstheme="minorEastAsia"/>
                <w:bCs/>
                <w:color w:val="auto"/>
                <w:kern w:val="0"/>
                <w:sz w:val="20"/>
                <w:szCs w:val="20"/>
              </w:rPr>
            </w:pPr>
          </w:p>
        </w:tc>
      </w:tr>
      <w:tr w14:paraId="4A33F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355E27F8">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27E90128">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0F4B30B0">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564B3F08">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开展会议次数</w:t>
            </w:r>
          </w:p>
        </w:tc>
        <w:tc>
          <w:tcPr>
            <w:tcW w:w="709" w:type="dxa"/>
            <w:vAlign w:val="center"/>
          </w:tcPr>
          <w:p w14:paraId="35BC7A22">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857" w:type="dxa"/>
            <w:vAlign w:val="center"/>
          </w:tcPr>
          <w:p w14:paraId="146B874C">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26E5E312">
            <w:pPr>
              <w:jc w:val="left"/>
              <w:rPr>
                <w:rFonts w:hint="eastAsia" w:asciiTheme="minorEastAsia" w:hAnsiTheme="minorEastAsia" w:eastAsiaTheme="minorEastAsia" w:cstheme="minorEastAsia"/>
                <w:bCs/>
                <w:color w:val="auto"/>
                <w:kern w:val="0"/>
                <w:sz w:val="20"/>
                <w:szCs w:val="20"/>
              </w:rPr>
            </w:pPr>
          </w:p>
        </w:tc>
      </w:tr>
      <w:tr w14:paraId="1A3C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6563B12B">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012B94B8">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04CE4AC7">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490F16BF">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开展培训次数</w:t>
            </w:r>
          </w:p>
        </w:tc>
        <w:tc>
          <w:tcPr>
            <w:tcW w:w="709" w:type="dxa"/>
            <w:vAlign w:val="center"/>
          </w:tcPr>
          <w:p w14:paraId="3D9F4247">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857" w:type="dxa"/>
            <w:vAlign w:val="center"/>
          </w:tcPr>
          <w:p w14:paraId="2C316130">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76F403D3">
            <w:pPr>
              <w:jc w:val="left"/>
              <w:rPr>
                <w:rFonts w:hint="eastAsia" w:asciiTheme="minorEastAsia" w:hAnsiTheme="minorEastAsia" w:eastAsiaTheme="minorEastAsia" w:cstheme="minorEastAsia"/>
                <w:bCs/>
                <w:color w:val="auto"/>
                <w:kern w:val="0"/>
                <w:sz w:val="20"/>
                <w:szCs w:val="20"/>
              </w:rPr>
            </w:pPr>
          </w:p>
        </w:tc>
      </w:tr>
      <w:tr w14:paraId="55B9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763A721B">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71CA5055">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7D76659C">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55BDFF41">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课程成果推广(对重点项目的区域  层面的推广)</w:t>
            </w:r>
          </w:p>
        </w:tc>
        <w:tc>
          <w:tcPr>
            <w:tcW w:w="709" w:type="dxa"/>
            <w:vAlign w:val="center"/>
          </w:tcPr>
          <w:p w14:paraId="290BE86B">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857" w:type="dxa"/>
            <w:vAlign w:val="center"/>
          </w:tcPr>
          <w:p w14:paraId="69E9AC43">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2170" w:type="dxa"/>
            <w:vAlign w:val="center"/>
          </w:tcPr>
          <w:p w14:paraId="601EF393">
            <w:pPr>
              <w:jc w:val="left"/>
              <w:rPr>
                <w:rFonts w:hint="eastAsia" w:asciiTheme="minorEastAsia" w:hAnsiTheme="minorEastAsia" w:eastAsiaTheme="minorEastAsia" w:cstheme="minorEastAsia"/>
                <w:bCs/>
                <w:color w:val="auto"/>
                <w:kern w:val="0"/>
                <w:sz w:val="20"/>
                <w:szCs w:val="20"/>
              </w:rPr>
            </w:pPr>
          </w:p>
        </w:tc>
      </w:tr>
      <w:tr w14:paraId="1D46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1716F7D3">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67E64AD5">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5DD76EC1">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7B66497E">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培养骨干教师/研究型教师数量</w:t>
            </w:r>
          </w:p>
        </w:tc>
        <w:tc>
          <w:tcPr>
            <w:tcW w:w="709" w:type="dxa"/>
            <w:vAlign w:val="center"/>
          </w:tcPr>
          <w:p w14:paraId="39554756">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857" w:type="dxa"/>
            <w:vAlign w:val="center"/>
          </w:tcPr>
          <w:p w14:paraId="55E3F00E">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2170" w:type="dxa"/>
            <w:vAlign w:val="center"/>
          </w:tcPr>
          <w:p w14:paraId="0F9B04E6">
            <w:pPr>
              <w:jc w:val="left"/>
              <w:rPr>
                <w:rFonts w:hint="eastAsia" w:asciiTheme="minorEastAsia" w:hAnsiTheme="minorEastAsia" w:eastAsiaTheme="minorEastAsia" w:cstheme="minorEastAsia"/>
                <w:bCs/>
                <w:color w:val="auto"/>
                <w:kern w:val="0"/>
                <w:sz w:val="20"/>
                <w:szCs w:val="20"/>
              </w:rPr>
            </w:pPr>
          </w:p>
        </w:tc>
      </w:tr>
      <w:tr w14:paraId="5DDA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21713C77">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406406FD">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1F2FAAFA">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10F76826">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校本课程开发数量</w:t>
            </w:r>
          </w:p>
        </w:tc>
        <w:tc>
          <w:tcPr>
            <w:tcW w:w="709" w:type="dxa"/>
            <w:vAlign w:val="center"/>
          </w:tcPr>
          <w:p w14:paraId="74D2086C">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857" w:type="dxa"/>
            <w:vAlign w:val="center"/>
          </w:tcPr>
          <w:p w14:paraId="2CAA1F1F">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2170" w:type="dxa"/>
            <w:vAlign w:val="center"/>
          </w:tcPr>
          <w:p w14:paraId="2B3C5FBB">
            <w:pPr>
              <w:jc w:val="left"/>
              <w:rPr>
                <w:rFonts w:hint="eastAsia" w:asciiTheme="minorEastAsia" w:hAnsiTheme="minorEastAsia" w:eastAsiaTheme="minorEastAsia" w:cstheme="minorEastAsia"/>
                <w:bCs/>
                <w:color w:val="auto"/>
                <w:kern w:val="0"/>
                <w:sz w:val="20"/>
                <w:szCs w:val="20"/>
              </w:rPr>
            </w:pPr>
          </w:p>
        </w:tc>
      </w:tr>
      <w:tr w14:paraId="45C12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2CE2F69E">
            <w:pPr>
              <w:jc w:val="center"/>
              <w:rPr>
                <w:rFonts w:hint="eastAsia" w:asciiTheme="minorEastAsia" w:hAnsiTheme="minorEastAsia" w:eastAsiaTheme="minorEastAsia" w:cstheme="minorEastAsia"/>
                <w:color w:val="auto"/>
                <w:kern w:val="0"/>
                <w:sz w:val="20"/>
                <w:szCs w:val="20"/>
              </w:rPr>
            </w:pPr>
          </w:p>
        </w:tc>
        <w:tc>
          <w:tcPr>
            <w:tcW w:w="1134" w:type="dxa"/>
            <w:vMerge w:val="restart"/>
            <w:vAlign w:val="center"/>
          </w:tcPr>
          <w:p w14:paraId="129FE21C">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产出质量</w:t>
            </w:r>
          </w:p>
        </w:tc>
        <w:tc>
          <w:tcPr>
            <w:tcW w:w="708" w:type="dxa"/>
            <w:vMerge w:val="restart"/>
            <w:vAlign w:val="center"/>
          </w:tcPr>
          <w:p w14:paraId="117149E1">
            <w:pPr>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4</w:t>
            </w:r>
          </w:p>
        </w:tc>
        <w:tc>
          <w:tcPr>
            <w:tcW w:w="1843" w:type="dxa"/>
            <w:vAlign w:val="center"/>
          </w:tcPr>
          <w:p w14:paraId="4A3F4F59">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验收合格率</w:t>
            </w:r>
          </w:p>
        </w:tc>
        <w:tc>
          <w:tcPr>
            <w:tcW w:w="709" w:type="dxa"/>
            <w:vAlign w:val="center"/>
          </w:tcPr>
          <w:p w14:paraId="6164FBCB">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857" w:type="dxa"/>
            <w:vAlign w:val="center"/>
          </w:tcPr>
          <w:p w14:paraId="0F86A8C8">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2170" w:type="dxa"/>
            <w:vAlign w:val="center"/>
          </w:tcPr>
          <w:p w14:paraId="7711CF1D">
            <w:pPr>
              <w:jc w:val="left"/>
              <w:rPr>
                <w:rFonts w:hint="eastAsia" w:asciiTheme="minorEastAsia" w:hAnsiTheme="minorEastAsia" w:eastAsiaTheme="minorEastAsia" w:cstheme="minorEastAsia"/>
                <w:bCs/>
                <w:color w:val="auto"/>
                <w:kern w:val="0"/>
                <w:sz w:val="20"/>
                <w:szCs w:val="20"/>
              </w:rPr>
            </w:pPr>
          </w:p>
        </w:tc>
      </w:tr>
      <w:tr w14:paraId="2738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52912A3C">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756827B5">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34BAC54E">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74192CBF">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资金使用符合要求</w:t>
            </w:r>
          </w:p>
        </w:tc>
        <w:tc>
          <w:tcPr>
            <w:tcW w:w="709" w:type="dxa"/>
            <w:vAlign w:val="center"/>
          </w:tcPr>
          <w:p w14:paraId="4E9FB1A6">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857" w:type="dxa"/>
            <w:vAlign w:val="center"/>
          </w:tcPr>
          <w:p w14:paraId="76DDBAF6">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2170" w:type="dxa"/>
            <w:vAlign w:val="center"/>
          </w:tcPr>
          <w:p w14:paraId="15C8F10F">
            <w:pPr>
              <w:jc w:val="left"/>
              <w:rPr>
                <w:rFonts w:hint="eastAsia" w:asciiTheme="minorEastAsia" w:hAnsiTheme="minorEastAsia" w:eastAsiaTheme="minorEastAsia" w:cstheme="minorEastAsia"/>
                <w:bCs/>
                <w:color w:val="auto"/>
                <w:kern w:val="0"/>
                <w:sz w:val="20"/>
                <w:szCs w:val="20"/>
              </w:rPr>
            </w:pPr>
          </w:p>
        </w:tc>
      </w:tr>
      <w:tr w14:paraId="50E3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05621EF4">
            <w:pPr>
              <w:jc w:val="center"/>
              <w:rPr>
                <w:rFonts w:hint="eastAsia" w:asciiTheme="minorEastAsia" w:hAnsiTheme="minorEastAsia" w:eastAsiaTheme="minorEastAsia" w:cstheme="minorEastAsia"/>
                <w:b/>
                <w:bCs/>
                <w:color w:val="auto"/>
                <w:kern w:val="0"/>
                <w:sz w:val="20"/>
                <w:szCs w:val="20"/>
              </w:rPr>
            </w:pPr>
          </w:p>
        </w:tc>
        <w:tc>
          <w:tcPr>
            <w:tcW w:w="1134" w:type="dxa"/>
            <w:vAlign w:val="center"/>
          </w:tcPr>
          <w:p w14:paraId="5429D894">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产出时效</w:t>
            </w:r>
          </w:p>
        </w:tc>
        <w:tc>
          <w:tcPr>
            <w:tcW w:w="708" w:type="dxa"/>
            <w:vAlign w:val="center"/>
          </w:tcPr>
          <w:p w14:paraId="2FC444BF">
            <w:pPr>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2</w:t>
            </w:r>
          </w:p>
        </w:tc>
        <w:tc>
          <w:tcPr>
            <w:tcW w:w="1843" w:type="dxa"/>
            <w:vAlign w:val="center"/>
          </w:tcPr>
          <w:p w14:paraId="2842A4F5">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项目验收时间</w:t>
            </w:r>
          </w:p>
        </w:tc>
        <w:tc>
          <w:tcPr>
            <w:tcW w:w="709" w:type="dxa"/>
            <w:vAlign w:val="center"/>
          </w:tcPr>
          <w:p w14:paraId="14CCE13D">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2</w:t>
            </w:r>
          </w:p>
        </w:tc>
        <w:tc>
          <w:tcPr>
            <w:tcW w:w="857" w:type="dxa"/>
            <w:vAlign w:val="center"/>
          </w:tcPr>
          <w:p w14:paraId="1825E6A7">
            <w:pPr>
              <w:jc w:val="center"/>
              <w:rPr>
                <w:rFonts w:hint="eastAsia"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2</w:t>
            </w:r>
          </w:p>
        </w:tc>
        <w:tc>
          <w:tcPr>
            <w:tcW w:w="2170" w:type="dxa"/>
            <w:vAlign w:val="center"/>
          </w:tcPr>
          <w:p w14:paraId="454B4283">
            <w:pPr>
              <w:jc w:val="left"/>
              <w:rPr>
                <w:rFonts w:hint="eastAsia" w:asciiTheme="minorEastAsia" w:hAnsiTheme="minorEastAsia" w:eastAsiaTheme="minorEastAsia" w:cstheme="minorEastAsia"/>
                <w:bCs/>
                <w:color w:val="auto"/>
                <w:kern w:val="0"/>
                <w:sz w:val="20"/>
                <w:szCs w:val="20"/>
              </w:rPr>
            </w:pPr>
          </w:p>
        </w:tc>
      </w:tr>
      <w:tr w14:paraId="5E01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6626DB32">
            <w:pPr>
              <w:jc w:val="center"/>
              <w:rPr>
                <w:rFonts w:hint="eastAsia" w:asciiTheme="minorEastAsia" w:hAnsiTheme="minorEastAsia" w:eastAsiaTheme="minorEastAsia" w:cstheme="minorEastAsia"/>
                <w:b/>
                <w:bCs/>
                <w:color w:val="auto"/>
                <w:kern w:val="0"/>
                <w:sz w:val="20"/>
                <w:szCs w:val="20"/>
              </w:rPr>
            </w:pPr>
          </w:p>
        </w:tc>
        <w:tc>
          <w:tcPr>
            <w:tcW w:w="1134" w:type="dxa"/>
            <w:vAlign w:val="center"/>
          </w:tcPr>
          <w:p w14:paraId="6FEFF827">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产出成本</w:t>
            </w:r>
          </w:p>
        </w:tc>
        <w:tc>
          <w:tcPr>
            <w:tcW w:w="708" w:type="dxa"/>
            <w:vAlign w:val="center"/>
          </w:tcPr>
          <w:p w14:paraId="7DEB3DF9">
            <w:pPr>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1</w:t>
            </w:r>
          </w:p>
        </w:tc>
        <w:tc>
          <w:tcPr>
            <w:tcW w:w="1843" w:type="dxa"/>
            <w:vAlign w:val="center"/>
          </w:tcPr>
          <w:p w14:paraId="62EFE8F6">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项目预算控制数</w:t>
            </w:r>
          </w:p>
        </w:tc>
        <w:tc>
          <w:tcPr>
            <w:tcW w:w="709" w:type="dxa"/>
            <w:vAlign w:val="center"/>
          </w:tcPr>
          <w:p w14:paraId="4981F5AB">
            <w:pPr>
              <w:jc w:val="center"/>
              <w:rPr>
                <w:rFonts w:hint="eastAsia"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1</w:t>
            </w:r>
          </w:p>
        </w:tc>
        <w:tc>
          <w:tcPr>
            <w:tcW w:w="857" w:type="dxa"/>
            <w:vAlign w:val="center"/>
          </w:tcPr>
          <w:p w14:paraId="6150849B">
            <w:pPr>
              <w:jc w:val="center"/>
              <w:rPr>
                <w:rFonts w:hint="eastAsia"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1</w:t>
            </w:r>
          </w:p>
        </w:tc>
        <w:tc>
          <w:tcPr>
            <w:tcW w:w="2170" w:type="dxa"/>
            <w:vAlign w:val="center"/>
          </w:tcPr>
          <w:p w14:paraId="6CA88E13">
            <w:pPr>
              <w:jc w:val="left"/>
              <w:rPr>
                <w:rFonts w:hint="eastAsia" w:asciiTheme="minorEastAsia" w:hAnsiTheme="minorEastAsia" w:eastAsiaTheme="minorEastAsia" w:cstheme="minorEastAsia"/>
                <w:bCs/>
                <w:color w:val="auto"/>
                <w:kern w:val="0"/>
                <w:sz w:val="20"/>
                <w:szCs w:val="20"/>
              </w:rPr>
            </w:pPr>
          </w:p>
        </w:tc>
      </w:tr>
      <w:tr w14:paraId="6091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restart"/>
            <w:vAlign w:val="center"/>
          </w:tcPr>
          <w:p w14:paraId="720CD75E">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效益</w:t>
            </w:r>
          </w:p>
          <w:p w14:paraId="3C52041E">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（30分）</w:t>
            </w:r>
          </w:p>
        </w:tc>
        <w:tc>
          <w:tcPr>
            <w:tcW w:w="1134" w:type="dxa"/>
            <w:vMerge w:val="restart"/>
            <w:vAlign w:val="center"/>
          </w:tcPr>
          <w:p w14:paraId="709F9BB9">
            <w:pPr>
              <w:jc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color w:val="auto"/>
                <w:kern w:val="0"/>
                <w:sz w:val="20"/>
                <w:szCs w:val="20"/>
              </w:rPr>
              <w:t>项目效益</w:t>
            </w:r>
          </w:p>
        </w:tc>
        <w:tc>
          <w:tcPr>
            <w:tcW w:w="708" w:type="dxa"/>
            <w:vMerge w:val="restart"/>
            <w:vAlign w:val="center"/>
          </w:tcPr>
          <w:p w14:paraId="68E2CE6D">
            <w:pPr>
              <w:jc w:val="center"/>
              <w:rPr>
                <w:rFonts w:hint="eastAsia" w:asciiTheme="minorEastAsia" w:hAnsiTheme="minorEastAsia" w:eastAsiaTheme="minorEastAsia" w:cstheme="minorEastAsia"/>
                <w:color w:val="auto"/>
                <w:kern w:val="0"/>
                <w:sz w:val="20"/>
                <w:szCs w:val="20"/>
                <w:lang w:val="en-US" w:eastAsia="zh-CN"/>
              </w:rPr>
            </w:pPr>
            <w:r>
              <w:rPr>
                <w:rFonts w:hint="eastAsia" w:asciiTheme="minorEastAsia" w:hAnsiTheme="minorEastAsia" w:eastAsiaTheme="minorEastAsia" w:cstheme="minorEastAsia"/>
                <w:color w:val="auto"/>
                <w:kern w:val="0"/>
                <w:sz w:val="20"/>
                <w:szCs w:val="20"/>
                <w:lang w:val="en-US" w:eastAsia="zh-CN"/>
              </w:rPr>
              <w:t>30</w:t>
            </w:r>
          </w:p>
        </w:tc>
        <w:tc>
          <w:tcPr>
            <w:tcW w:w="1843" w:type="dxa"/>
            <w:vAlign w:val="center"/>
          </w:tcPr>
          <w:p w14:paraId="2B6EA976">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推动海淀区地方课程和校本课程建设的可持续发展</w:t>
            </w:r>
          </w:p>
        </w:tc>
        <w:tc>
          <w:tcPr>
            <w:tcW w:w="709" w:type="dxa"/>
            <w:vAlign w:val="center"/>
          </w:tcPr>
          <w:p w14:paraId="4E0A3E6F">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857" w:type="dxa"/>
            <w:vAlign w:val="center"/>
          </w:tcPr>
          <w:p w14:paraId="35431E11">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485CEABE">
            <w:pPr>
              <w:jc w:val="left"/>
              <w:rPr>
                <w:rFonts w:hint="default"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可进一步</w:t>
            </w:r>
            <w:r>
              <w:rPr>
                <w:rFonts w:hint="eastAsia" w:asciiTheme="minorEastAsia" w:hAnsiTheme="minorEastAsia" w:cstheme="minorEastAsia"/>
                <w:bCs/>
                <w:color w:val="auto"/>
                <w:kern w:val="0"/>
                <w:sz w:val="20"/>
                <w:szCs w:val="20"/>
                <w:lang w:val="en-US" w:eastAsia="zh-CN"/>
              </w:rPr>
              <w:t>归集、挖掘，促进对可持续发展的推动性</w:t>
            </w:r>
          </w:p>
        </w:tc>
      </w:tr>
      <w:tr w14:paraId="7A951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4078E1D2">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7B057991">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2A111802">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426D24FE">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为区域教育改革实验研究搭建平台</w:t>
            </w:r>
          </w:p>
        </w:tc>
        <w:tc>
          <w:tcPr>
            <w:tcW w:w="709" w:type="dxa"/>
            <w:vAlign w:val="center"/>
          </w:tcPr>
          <w:p w14:paraId="586F9EBB">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857" w:type="dxa"/>
            <w:vAlign w:val="center"/>
          </w:tcPr>
          <w:p w14:paraId="313DDB14">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4C0486C8">
            <w:pPr>
              <w:jc w:val="left"/>
              <w:rPr>
                <w:rFonts w:hint="default" w:asciiTheme="minorEastAsia" w:hAnsiTheme="minorEastAsia" w:eastAsiaTheme="minorEastAsia" w:cstheme="minorEastAsia"/>
                <w:bCs/>
                <w:color w:val="auto"/>
                <w:kern w:val="0"/>
                <w:sz w:val="20"/>
                <w:szCs w:val="20"/>
                <w:lang w:val="en-US"/>
              </w:rPr>
            </w:pPr>
            <w:r>
              <w:rPr>
                <w:rFonts w:hint="eastAsia" w:asciiTheme="minorEastAsia" w:hAnsiTheme="minorEastAsia" w:eastAsiaTheme="minorEastAsia" w:cstheme="minorEastAsia"/>
                <w:bCs/>
                <w:color w:val="auto"/>
                <w:kern w:val="0"/>
                <w:sz w:val="20"/>
                <w:szCs w:val="20"/>
                <w:lang w:val="en-US" w:eastAsia="zh-CN"/>
              </w:rPr>
              <w:t>可进一步</w:t>
            </w:r>
            <w:r>
              <w:rPr>
                <w:rFonts w:hint="eastAsia" w:asciiTheme="minorEastAsia" w:hAnsiTheme="minorEastAsia" w:cstheme="minorEastAsia"/>
                <w:bCs/>
                <w:color w:val="auto"/>
                <w:kern w:val="0"/>
                <w:sz w:val="20"/>
                <w:szCs w:val="20"/>
                <w:lang w:val="en-US" w:eastAsia="zh-CN"/>
              </w:rPr>
              <w:t>归集、挖掘，助力全区教改平台搭建和完善</w:t>
            </w:r>
          </w:p>
        </w:tc>
      </w:tr>
      <w:tr w14:paraId="4B37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362C77CF">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1780298C">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1DB63CFD">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0B13EE39">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培养具有研究意识和研究能力的骨干教师/研究型教师</w:t>
            </w:r>
          </w:p>
        </w:tc>
        <w:tc>
          <w:tcPr>
            <w:tcW w:w="709" w:type="dxa"/>
            <w:vAlign w:val="center"/>
          </w:tcPr>
          <w:p w14:paraId="392E5D2E">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10</w:t>
            </w:r>
          </w:p>
        </w:tc>
        <w:tc>
          <w:tcPr>
            <w:tcW w:w="857" w:type="dxa"/>
            <w:vAlign w:val="center"/>
          </w:tcPr>
          <w:p w14:paraId="0A2DE1B3">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8</w:t>
            </w:r>
          </w:p>
        </w:tc>
        <w:tc>
          <w:tcPr>
            <w:tcW w:w="2170" w:type="dxa"/>
            <w:vAlign w:val="center"/>
          </w:tcPr>
          <w:p w14:paraId="5E95D85F">
            <w:pPr>
              <w:jc w:val="left"/>
              <w:rPr>
                <w:rFonts w:hint="default" w:asciiTheme="minorEastAsia" w:hAnsiTheme="minorEastAsia" w:eastAsiaTheme="minorEastAsia" w:cstheme="minorEastAsia"/>
                <w:bCs/>
                <w:color w:val="auto"/>
                <w:kern w:val="0"/>
                <w:sz w:val="20"/>
                <w:szCs w:val="20"/>
                <w:lang w:val="en-US"/>
              </w:rPr>
            </w:pPr>
            <w:r>
              <w:rPr>
                <w:rFonts w:hint="eastAsia" w:asciiTheme="minorEastAsia" w:hAnsiTheme="minorEastAsia" w:cstheme="minorEastAsia"/>
                <w:bCs/>
                <w:color w:val="auto"/>
                <w:kern w:val="0"/>
                <w:sz w:val="20"/>
                <w:szCs w:val="20"/>
                <w:lang w:val="en-US" w:eastAsia="zh-CN"/>
              </w:rPr>
              <w:t>在教师专业素养交流培训的基础上，需进一步加强对教师研究能力的培养</w:t>
            </w:r>
          </w:p>
        </w:tc>
      </w:tr>
      <w:tr w14:paraId="3199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48751266">
            <w:pPr>
              <w:jc w:val="center"/>
              <w:rPr>
                <w:rFonts w:hint="eastAsia" w:asciiTheme="minorEastAsia" w:hAnsiTheme="minorEastAsia" w:eastAsiaTheme="minorEastAsia" w:cstheme="minorEastAsia"/>
                <w:color w:val="auto"/>
                <w:kern w:val="0"/>
                <w:sz w:val="20"/>
                <w:szCs w:val="20"/>
              </w:rPr>
            </w:pPr>
          </w:p>
        </w:tc>
        <w:tc>
          <w:tcPr>
            <w:tcW w:w="1134" w:type="dxa"/>
            <w:vMerge w:val="continue"/>
            <w:vAlign w:val="center"/>
          </w:tcPr>
          <w:p w14:paraId="6036A9A6">
            <w:pPr>
              <w:jc w:val="center"/>
              <w:rPr>
                <w:rFonts w:hint="eastAsia" w:asciiTheme="minorEastAsia" w:hAnsiTheme="minorEastAsia" w:eastAsiaTheme="minorEastAsia" w:cstheme="minorEastAsia"/>
                <w:color w:val="auto"/>
                <w:kern w:val="0"/>
                <w:sz w:val="20"/>
                <w:szCs w:val="20"/>
              </w:rPr>
            </w:pPr>
          </w:p>
        </w:tc>
        <w:tc>
          <w:tcPr>
            <w:tcW w:w="708" w:type="dxa"/>
            <w:vMerge w:val="continue"/>
            <w:vAlign w:val="center"/>
          </w:tcPr>
          <w:p w14:paraId="24704AF2">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0B9A6B45">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教师满意度</w:t>
            </w:r>
          </w:p>
        </w:tc>
        <w:tc>
          <w:tcPr>
            <w:tcW w:w="709" w:type="dxa"/>
            <w:vAlign w:val="center"/>
          </w:tcPr>
          <w:p w14:paraId="6B3E0FDF">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857" w:type="dxa"/>
            <w:vAlign w:val="center"/>
          </w:tcPr>
          <w:p w14:paraId="14A79E6E">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5641EEA3">
            <w:pPr>
              <w:jc w:val="left"/>
              <w:rPr>
                <w:rFonts w:hint="eastAsia"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未能系统采集和量化满意度情况</w:t>
            </w:r>
          </w:p>
        </w:tc>
      </w:tr>
      <w:tr w14:paraId="164C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1" w:type="dxa"/>
            <w:vMerge w:val="continue"/>
            <w:vAlign w:val="center"/>
          </w:tcPr>
          <w:p w14:paraId="31A2FA02">
            <w:pPr>
              <w:jc w:val="center"/>
              <w:rPr>
                <w:rFonts w:hint="eastAsia" w:asciiTheme="minorEastAsia" w:hAnsiTheme="minorEastAsia" w:eastAsiaTheme="minorEastAsia" w:cstheme="minorEastAsia"/>
                <w:b/>
                <w:bCs/>
                <w:color w:val="auto"/>
                <w:kern w:val="0"/>
                <w:sz w:val="20"/>
                <w:szCs w:val="20"/>
              </w:rPr>
            </w:pPr>
          </w:p>
        </w:tc>
        <w:tc>
          <w:tcPr>
            <w:tcW w:w="1134" w:type="dxa"/>
            <w:vMerge w:val="continue"/>
            <w:vAlign w:val="center"/>
          </w:tcPr>
          <w:p w14:paraId="77BC1273">
            <w:pPr>
              <w:jc w:val="center"/>
              <w:rPr>
                <w:rFonts w:hint="eastAsia" w:asciiTheme="minorEastAsia" w:hAnsiTheme="minorEastAsia" w:eastAsiaTheme="minorEastAsia" w:cstheme="minorEastAsia"/>
                <w:b/>
                <w:bCs/>
                <w:color w:val="auto"/>
                <w:kern w:val="0"/>
                <w:sz w:val="20"/>
                <w:szCs w:val="20"/>
              </w:rPr>
            </w:pPr>
          </w:p>
        </w:tc>
        <w:tc>
          <w:tcPr>
            <w:tcW w:w="708" w:type="dxa"/>
            <w:vMerge w:val="continue"/>
            <w:vAlign w:val="center"/>
          </w:tcPr>
          <w:p w14:paraId="5B8C86D9">
            <w:pPr>
              <w:jc w:val="center"/>
              <w:rPr>
                <w:rFonts w:hint="eastAsia" w:asciiTheme="minorEastAsia" w:hAnsiTheme="minorEastAsia" w:eastAsiaTheme="minorEastAsia" w:cstheme="minorEastAsia"/>
                <w:color w:val="auto"/>
                <w:kern w:val="0"/>
                <w:sz w:val="20"/>
                <w:szCs w:val="20"/>
              </w:rPr>
            </w:pPr>
          </w:p>
        </w:tc>
        <w:tc>
          <w:tcPr>
            <w:tcW w:w="1843" w:type="dxa"/>
            <w:vAlign w:val="center"/>
          </w:tcPr>
          <w:p w14:paraId="4FB4B2DC">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 xml:space="preserve">  学校满意度</w:t>
            </w:r>
          </w:p>
        </w:tc>
        <w:tc>
          <w:tcPr>
            <w:tcW w:w="709" w:type="dxa"/>
            <w:vAlign w:val="center"/>
          </w:tcPr>
          <w:p w14:paraId="06433E68">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5</w:t>
            </w:r>
          </w:p>
        </w:tc>
        <w:tc>
          <w:tcPr>
            <w:tcW w:w="857" w:type="dxa"/>
            <w:vAlign w:val="center"/>
          </w:tcPr>
          <w:p w14:paraId="0B530DB7">
            <w:pPr>
              <w:keepNext w:val="0"/>
              <w:keepLines w:val="0"/>
              <w:widowControl/>
              <w:suppressLineNumbers w:val="0"/>
              <w:jc w:val="center"/>
              <w:textAlignment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i w:val="0"/>
                <w:iCs w:val="0"/>
                <w:color w:val="auto"/>
                <w:kern w:val="0"/>
                <w:sz w:val="20"/>
                <w:szCs w:val="20"/>
                <w:u w:val="none"/>
                <w:lang w:val="en-US" w:eastAsia="zh-CN" w:bidi="ar"/>
              </w:rPr>
              <w:t>4</w:t>
            </w:r>
          </w:p>
        </w:tc>
        <w:tc>
          <w:tcPr>
            <w:tcW w:w="2170" w:type="dxa"/>
            <w:vAlign w:val="center"/>
          </w:tcPr>
          <w:p w14:paraId="716E83DE">
            <w:pPr>
              <w:jc w:val="left"/>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lang w:val="en-US" w:eastAsia="zh-CN"/>
              </w:rPr>
              <w:t>未能系统采集和量化满意度情况</w:t>
            </w:r>
          </w:p>
        </w:tc>
      </w:tr>
      <w:tr w14:paraId="67AD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5" w:type="dxa"/>
            <w:gridSpan w:val="2"/>
            <w:vAlign w:val="center"/>
          </w:tcPr>
          <w:p w14:paraId="65838726">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b/>
                <w:color w:val="auto"/>
                <w:kern w:val="0"/>
                <w:sz w:val="20"/>
                <w:szCs w:val="20"/>
              </w:rPr>
              <w:t>合计</w:t>
            </w:r>
          </w:p>
        </w:tc>
        <w:tc>
          <w:tcPr>
            <w:tcW w:w="708" w:type="dxa"/>
            <w:vAlign w:val="center"/>
          </w:tcPr>
          <w:p w14:paraId="0B26DBF9">
            <w:pPr>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100</w:t>
            </w:r>
          </w:p>
        </w:tc>
        <w:tc>
          <w:tcPr>
            <w:tcW w:w="1843" w:type="dxa"/>
            <w:vAlign w:val="center"/>
          </w:tcPr>
          <w:p w14:paraId="624E6FA0">
            <w:pPr>
              <w:jc w:val="center"/>
              <w:rPr>
                <w:rFonts w:hint="eastAsia" w:asciiTheme="minorEastAsia" w:hAnsiTheme="minorEastAsia" w:eastAsiaTheme="minorEastAsia" w:cstheme="minorEastAsia"/>
                <w:color w:val="auto"/>
                <w:kern w:val="0"/>
                <w:sz w:val="20"/>
                <w:szCs w:val="20"/>
              </w:rPr>
            </w:pPr>
          </w:p>
        </w:tc>
        <w:tc>
          <w:tcPr>
            <w:tcW w:w="709" w:type="dxa"/>
            <w:vAlign w:val="center"/>
          </w:tcPr>
          <w:p w14:paraId="767B11F0">
            <w:pPr>
              <w:jc w:val="center"/>
              <w:rPr>
                <w:rFonts w:hint="eastAsia" w:asciiTheme="minorEastAsia" w:hAnsiTheme="minorEastAsia" w:eastAsiaTheme="minorEastAsia" w:cstheme="minorEastAsia"/>
                <w:bCs/>
                <w:color w:val="auto"/>
                <w:kern w:val="0"/>
                <w:sz w:val="20"/>
                <w:szCs w:val="20"/>
              </w:rPr>
            </w:pPr>
            <w:r>
              <w:rPr>
                <w:rFonts w:hint="eastAsia" w:asciiTheme="minorEastAsia" w:hAnsiTheme="minorEastAsia" w:eastAsiaTheme="minorEastAsia" w:cstheme="minorEastAsia"/>
                <w:bCs/>
                <w:color w:val="auto"/>
                <w:kern w:val="0"/>
                <w:sz w:val="20"/>
                <w:szCs w:val="20"/>
              </w:rPr>
              <w:t>100</w:t>
            </w:r>
          </w:p>
        </w:tc>
        <w:tc>
          <w:tcPr>
            <w:tcW w:w="857" w:type="dxa"/>
            <w:vAlign w:val="center"/>
          </w:tcPr>
          <w:p w14:paraId="7F3F01A6">
            <w:pPr>
              <w:jc w:val="center"/>
              <w:rPr>
                <w:rFonts w:hint="eastAsia" w:asciiTheme="minorEastAsia" w:hAnsiTheme="minorEastAsia" w:eastAsiaTheme="minorEastAsia" w:cstheme="minorEastAsia"/>
                <w:bCs/>
                <w:color w:val="auto"/>
                <w:kern w:val="0"/>
                <w:sz w:val="20"/>
                <w:szCs w:val="20"/>
                <w:lang w:val="en-US" w:eastAsia="zh-CN"/>
              </w:rPr>
            </w:pPr>
            <w:r>
              <w:rPr>
                <w:rFonts w:hint="eastAsia" w:asciiTheme="minorEastAsia" w:hAnsiTheme="minorEastAsia" w:eastAsiaTheme="minorEastAsia" w:cstheme="minorEastAsia"/>
                <w:bCs/>
                <w:color w:val="auto"/>
                <w:kern w:val="0"/>
                <w:sz w:val="20"/>
                <w:szCs w:val="20"/>
                <w:lang w:val="en-US" w:eastAsia="zh-CN"/>
              </w:rPr>
              <w:t>93.5</w:t>
            </w:r>
          </w:p>
        </w:tc>
        <w:tc>
          <w:tcPr>
            <w:tcW w:w="2170" w:type="dxa"/>
            <w:vAlign w:val="center"/>
          </w:tcPr>
          <w:p w14:paraId="384D180C">
            <w:pPr>
              <w:jc w:val="left"/>
              <w:rPr>
                <w:rFonts w:hint="eastAsia" w:asciiTheme="minorEastAsia" w:hAnsiTheme="minorEastAsia" w:eastAsiaTheme="minorEastAsia" w:cstheme="minorEastAsia"/>
                <w:bCs/>
                <w:color w:val="auto"/>
                <w:kern w:val="0"/>
                <w:sz w:val="20"/>
                <w:szCs w:val="20"/>
              </w:rPr>
            </w:pPr>
          </w:p>
        </w:tc>
      </w:tr>
    </w:tbl>
    <w:p w14:paraId="1F38297A"/>
    <w:p w14:paraId="693E74DC"/>
    <w:p w14:paraId="1C16105D">
      <w:pPr>
        <w:overflowPunct w:val="0"/>
        <w:spacing w:line="560" w:lineRule="exact"/>
        <w:ind w:firstLine="640" w:firstLineChars="200"/>
        <w:outlineLvl w:val="0"/>
        <w:rPr>
          <w:rFonts w:ascii="仿宋_GB2312" w:eastAsia="仿宋_GB2312"/>
          <w:sz w:val="32"/>
          <w:szCs w:val="32"/>
        </w:rPr>
        <w:sectPr>
          <w:pgSz w:w="11906" w:h="16838"/>
          <w:pgMar w:top="2098" w:right="1531" w:bottom="1984" w:left="1531" w:header="851" w:footer="1418" w:gutter="0"/>
          <w:cols w:space="720" w:num="1"/>
          <w:docGrid w:type="linesAndChars" w:linePitch="312" w:charSpace="0"/>
        </w:sectPr>
      </w:pPr>
    </w:p>
    <w:p w14:paraId="157E7D9B">
      <w:pPr>
        <w:tabs>
          <w:tab w:val="left" w:pos="1416"/>
          <w:tab w:val="left" w:pos="2512"/>
          <w:tab w:val="left" w:pos="4708"/>
          <w:tab w:val="left" w:pos="6073"/>
          <w:tab w:val="left" w:pos="7389"/>
          <w:tab w:val="left" w:pos="8705"/>
          <w:tab w:val="left" w:pos="10021"/>
          <w:tab w:val="left" w:pos="10685"/>
          <w:tab w:val="left" w:pos="11745"/>
          <w:tab w:val="left" w:pos="12841"/>
        </w:tabs>
        <w:rPr>
          <w:rFonts w:hint="eastAsia" w:ascii="宋体" w:hAnsi="宋体" w:cs="宋体"/>
          <w:color w:val="000000"/>
          <w:sz w:val="22"/>
          <w:szCs w:val="22"/>
        </w:rPr>
      </w:pPr>
      <w:r>
        <w:rPr>
          <w:rFonts w:hint="eastAsia" w:ascii="黑体" w:hAnsi="宋体" w:eastAsia="黑体" w:cs="黑体"/>
          <w:color w:val="000000"/>
          <w:kern w:val="0"/>
          <w:sz w:val="32"/>
          <w:szCs w:val="32"/>
          <w:lang w:bidi="ar"/>
        </w:rPr>
        <w:t>附件6-3：</w:t>
      </w:r>
      <w:r>
        <w:rPr>
          <w:rFonts w:ascii="黑体" w:hAnsi="宋体" w:eastAsia="黑体" w:cs="黑体"/>
          <w:color w:val="000000"/>
          <w:sz w:val="32"/>
          <w:szCs w:val="3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r>
        <w:rPr>
          <w:rFonts w:hint="eastAsia" w:ascii="宋体" w:hAnsi="宋体" w:cs="宋体"/>
          <w:color w:val="000000"/>
          <w:sz w:val="22"/>
          <w:szCs w:val="22"/>
        </w:rPr>
        <w:tab/>
      </w:r>
    </w:p>
    <w:p w14:paraId="30A5512A">
      <w:pPr>
        <w:overflowPunct w:val="0"/>
        <w:spacing w:line="560" w:lineRule="exact"/>
        <w:jc w:val="center"/>
        <w:rPr>
          <w:rFonts w:hint="eastAsia" w:ascii="方正小标宋简体" w:hAnsi="方正小标宋简体" w:eastAsia="方正小标宋简体" w:cs="方正小标宋简体"/>
          <w:bCs/>
          <w:color w:val="000000"/>
          <w:sz w:val="44"/>
          <w:szCs w:val="28"/>
        </w:rPr>
      </w:pPr>
      <w:r>
        <w:rPr>
          <w:rFonts w:hint="eastAsia" w:ascii="方正小标宋简体" w:hAnsi="方正小标宋简体" w:eastAsia="方正小标宋简体" w:cs="方正小标宋简体"/>
          <w:bCs/>
          <w:color w:val="000000"/>
          <w:kern w:val="0"/>
          <w:sz w:val="44"/>
          <w:szCs w:val="28"/>
          <w:lang w:bidi="ar"/>
        </w:rPr>
        <w:t>项目支出绩效自评表</w:t>
      </w:r>
    </w:p>
    <w:p w14:paraId="5127986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22"/>
          <w:szCs w:val="22"/>
          <w:lang w:val="en-US" w:eastAsia="zh-CN" w:bidi="ar"/>
        </w:rPr>
        <w:t>2024</w:t>
      </w:r>
      <w:r>
        <w:rPr>
          <w:rFonts w:hint="eastAsia" w:ascii="宋体" w:hAnsi="宋体" w:cs="宋体"/>
          <w:color w:val="000000"/>
          <w:kern w:val="0"/>
          <w:sz w:val="22"/>
          <w:szCs w:val="22"/>
          <w:lang w:bidi="ar"/>
        </w:rPr>
        <w:t>年度）</w:t>
      </w:r>
    </w:p>
    <w:p w14:paraId="7B757BC5">
      <w:pPr>
        <w:overflowPunct w:val="0"/>
        <w:spacing w:line="20" w:lineRule="exact"/>
        <w:outlineLvl w:val="0"/>
        <w:rPr>
          <w:rFonts w:ascii="仿宋_GB2312" w:eastAsia="仿宋_GB2312"/>
          <w:sz w:val="32"/>
          <w:szCs w:val="32"/>
        </w:rPr>
      </w:pPr>
    </w:p>
    <w:tbl>
      <w:tblPr>
        <w:tblStyle w:val="7"/>
        <w:tblW w:w="14141"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0"/>
        <w:gridCol w:w="945"/>
        <w:gridCol w:w="2196"/>
        <w:gridCol w:w="1469"/>
        <w:gridCol w:w="1348"/>
        <w:gridCol w:w="1335"/>
        <w:gridCol w:w="1316"/>
        <w:gridCol w:w="1017"/>
        <w:gridCol w:w="1189"/>
        <w:gridCol w:w="1096"/>
        <w:gridCol w:w="1490"/>
      </w:tblGrid>
      <w:tr w14:paraId="3793C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1C07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456"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7C0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[ID37648]双新示范校背景下学校深化改革的实践探索</w:t>
            </w:r>
          </w:p>
        </w:tc>
      </w:tr>
      <w:tr w14:paraId="6FBBC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89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C39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北京市海淀区教育委员会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B0A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79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43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北京市十一学校</w:t>
            </w:r>
          </w:p>
        </w:tc>
      </w:tr>
      <w:tr w14:paraId="5A905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16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62B1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0" w:type="auto"/>
            <w:gridSpan w:val="2"/>
            <w:tcBorders>
              <w:top w:val="single" w:color="000000" w:sz="4" w:space="0"/>
              <w:left w:val="nil"/>
              <w:bottom w:val="single" w:color="000000" w:sz="4" w:space="0"/>
              <w:right w:val="single" w:color="000000" w:sz="4" w:space="0"/>
            </w:tcBorders>
            <w:shd w:val="clear" w:color="auto" w:fill="auto"/>
            <w:noWrap/>
            <w:vAlign w:val="center"/>
          </w:tcPr>
          <w:p w14:paraId="3158FD4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9C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496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A1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6E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AB8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DC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D88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5E4A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528C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372D9EF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CFFD30E">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4B8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5E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37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7A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246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79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57BF">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3F753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1C0ED">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484285A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203407">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75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96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DB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A67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7F119">
            <w:pPr>
              <w:keepNext w:val="0"/>
              <w:keepLines w:val="0"/>
              <w:pageBreakBefore w:val="0"/>
              <w:kinsoku/>
              <w:wordWrap/>
              <w:overflowPunct/>
              <w:topLinePunct w:val="0"/>
              <w:autoSpaceDE/>
              <w:autoSpaceDN/>
              <w:bidi w:val="0"/>
              <w:adjustRightInd w:val="0"/>
              <w:snapToGrid w:val="0"/>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28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916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1C608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1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C657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60EB9DB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EEFAA2">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8C61">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1259AC31">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1B801EA4">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839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9EFFD">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6EC3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61A6">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4AED0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1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0B55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2B807A3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45333EF">
            <w:pPr>
              <w:keepNext w:val="0"/>
              <w:keepLines w:val="0"/>
              <w:pageBreakBefore w:val="0"/>
              <w:kinsoku/>
              <w:wordWrap/>
              <w:overflowPunct/>
              <w:topLinePunct w:val="0"/>
              <w:autoSpaceDE/>
              <w:autoSpaceDN/>
              <w:bidi w:val="0"/>
              <w:adjustRightInd w:val="0"/>
              <w:snapToGrid w:val="0"/>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3861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4258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08EF">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521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EEA62">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15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57A0C">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0800A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9EBD95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165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10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4EA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A471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F28632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6E15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落实《海淀区普通高中新课程新教材实施国家级示范区建设工作三年规划》等文件要求，为全市乃至全国提供“海淀经验”，“海淀标准”。拟开展如下工作：聘请专家评估完善20个课程建设，购买20个课程教师专业提升需要的书籍，集中封闭研讨10天；开展9个学科“课例、作业、命题诊断、学习路径”专项评估4次；全校100个案例征集评选、印刷课例/论文集10本、开展4次帮扶活动、组织1次全国性教育年会等工作，达到完善新课程新教材配套的学习资源；推进“从教走向学”的课堂落实；构建支持学生学习的诊断系统；提高课程育人能力的教研目标，汇编优秀案例进行推广，起到辐射和帮扶带动作用。</w:t>
            </w:r>
          </w:p>
        </w:tc>
        <w:tc>
          <w:tcPr>
            <w:tcW w:w="6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5D65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达到完善新课程新教材配套的学习资源；推进“从教走向学”的课堂落实；构建支持学生学习的诊断系统；提高了课程育人能力的教研目标，汇编优秀案例进行推广，起到了辐射和帮扶带动作用。</w:t>
            </w:r>
          </w:p>
        </w:tc>
      </w:tr>
      <w:tr w14:paraId="639F7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740" w:type="dxa"/>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215E669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CC7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7B3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E3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FAB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指标性质</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C2DB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本年指标值</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248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度量单位</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8B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本年权重(%)</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5F67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34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自评得分</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284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5A5F1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6D57F2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28D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C0A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BB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CF86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634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545A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月份</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0DF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154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12月份</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4D9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BF9B">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4435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936165C">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E65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F0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F4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材料印刷数量</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561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702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78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份</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58D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67AE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1500份</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68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9E9A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25DF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5DA2EE4">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50E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72D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C05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购买课程资源数量</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E48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91B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1A5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D57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774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22个</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C3F6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FFC8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3BACD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156724F">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2C3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577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208A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开展会议次数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6E9A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5B7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2C7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87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65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D29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144A">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2A6CA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6A7481D5">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39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A48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52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开展培训次数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88C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A7C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578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AA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BA3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6B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79C6">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2E92C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D4BA3AE">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E99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7D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D4C5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课程成果推广（对重点项目的区域层面的推广）</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E28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90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E04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次</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0E8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D5D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B6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9A0C">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0173F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4672948">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1B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344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DB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培养骨干教师/研究型教师数量</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EAA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066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92B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92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2F1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100名</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8AE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A9A2">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5F48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E59241C">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E81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9BE9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D47C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校本课程开发数量</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BB5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E0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ED6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45C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6A2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5门</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E6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1642">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0A501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1968036">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C51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F5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B02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验收合格率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F02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96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A92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E25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939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3AE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31E3">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55D83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55EB1532">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659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E8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203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资金使用符合要求</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3D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9FA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C21A">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3A6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357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613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7785">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52BEF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96F49FB">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B8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661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97D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F0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4F8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12E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8E3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A4D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3043785元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11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2F27">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r w14:paraId="0740A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D611FD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58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503D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9353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5D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0561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790F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54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CFE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7C17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3C3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未能系统采集和量化满意度情况</w:t>
            </w:r>
          </w:p>
        </w:tc>
      </w:tr>
      <w:tr w14:paraId="2A59E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7AC8174">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AE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B4C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348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学校满意度</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62D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D86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16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3BE3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E71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5A65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E8F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未能系统采集和量化满意度情况</w:t>
            </w:r>
          </w:p>
        </w:tc>
      </w:tr>
      <w:tr w14:paraId="621CC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A4E077A">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7B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89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1B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推动海淀区地方课程和校本课程建设的可持续发展</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8C1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F7BD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CC07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00B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53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0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813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7D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仍有提升空间</w:t>
            </w:r>
          </w:p>
        </w:tc>
      </w:tr>
      <w:tr w14:paraId="17F4A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4F4BD74">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78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EFD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C4C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为区域教育改革实验研究搭建平台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A72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F3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B81EB">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C85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1A5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0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6B4F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156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仍有提升空间</w:t>
            </w:r>
          </w:p>
        </w:tc>
      </w:tr>
      <w:tr w14:paraId="41607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9" w:hRule="atLeast"/>
        </w:trPr>
        <w:tc>
          <w:tcPr>
            <w:tcW w:w="740"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FE7588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1CF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F2D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20F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培养具有研究意识和研究能力的骨干教师/研究型教师</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1C5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定性指标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26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D1F9">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417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02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w:t>
            </w:r>
          </w:p>
        </w:tc>
        <w:tc>
          <w:tcPr>
            <w:tcW w:w="109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EC56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8F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仍有提升空间</w:t>
            </w:r>
          </w:p>
        </w:tc>
      </w:tr>
      <w:tr w14:paraId="7D717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1155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2AA9C0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D5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3340">
            <w:pPr>
              <w:keepNext w:val="0"/>
              <w:keepLines w:val="0"/>
              <w:pageBreakBefore w:val="0"/>
              <w:kinsoku/>
              <w:wordWrap/>
              <w:overflowPunct/>
              <w:topLinePunct w:val="0"/>
              <w:autoSpaceDE/>
              <w:autoSpaceDN/>
              <w:bidi w:val="0"/>
              <w:adjustRightInd w:val="0"/>
              <w:snapToGrid w:val="0"/>
              <w:jc w:val="center"/>
              <w:rPr>
                <w:rFonts w:hint="eastAsia" w:ascii="宋体" w:hAnsi="宋体" w:eastAsia="宋体" w:cs="宋体"/>
                <w:i w:val="0"/>
                <w:iCs w:val="0"/>
                <w:color w:val="000000"/>
                <w:sz w:val="20"/>
                <w:szCs w:val="20"/>
                <w:u w:val="none"/>
              </w:rPr>
            </w:pPr>
          </w:p>
        </w:tc>
      </w:tr>
    </w:tbl>
    <w:p w14:paraId="651A25A2"/>
    <w:sectPr>
      <w:pgSz w:w="16838" w:h="11906" w:orient="landscape"/>
      <w:pgMar w:top="1418" w:right="1418" w:bottom="1247" w:left="1418" w:header="851" w:footer="851"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CE68007-4684-4E93-8AB0-69F831266BDF}"/>
  </w:font>
  <w:font w:name="黑体">
    <w:panose1 w:val="02010609060101010101"/>
    <w:charset w:val="86"/>
    <w:family w:val="auto"/>
    <w:pitch w:val="default"/>
    <w:sig w:usb0="800002BF" w:usb1="38CF7CFA" w:usb2="00000016" w:usb3="00000000" w:csb0="00040001" w:csb1="00000000"/>
    <w:embedRegular r:id="rId2" w:fontKey="{4FCFA022-CE1E-480B-AD8A-03FF218AC6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3" w:fontKey="{24AC65F1-4E7A-4E30-85FF-5A172147307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7E4BB746-F090-474C-ABC0-EA28EFDC7372}"/>
  </w:font>
  <w:font w:name="楷体_GB2312">
    <w:panose1 w:val="02010609030101010101"/>
    <w:charset w:val="86"/>
    <w:family w:val="modern"/>
    <w:pitch w:val="default"/>
    <w:sig w:usb0="00000001" w:usb1="080E0000" w:usb2="00000000" w:usb3="00000000" w:csb0="00040000" w:csb1="00000000"/>
    <w:embedRegular r:id="rId5" w:fontKey="{B128FF09-C8D9-4A5E-B652-3E188F2FE8D2}"/>
  </w:font>
  <w:font w:name="仿宋">
    <w:panose1 w:val="02010609060101010101"/>
    <w:charset w:val="86"/>
    <w:family w:val="modern"/>
    <w:pitch w:val="default"/>
    <w:sig w:usb0="800002BF" w:usb1="38CF7CFA" w:usb2="00000016" w:usb3="00000000" w:csb0="00040001" w:csb1="00000000"/>
    <w:embedRegular r:id="rId6" w:fontKey="{80BF0C8C-BD7A-4E19-9BED-D02EC61112A5}"/>
  </w:font>
  <w:font w:name="方正黑体_GBK">
    <w:altName w:val="微软雅黑"/>
    <w:panose1 w:val="00000000000000000000"/>
    <w:charset w:val="86"/>
    <w:family w:val="auto"/>
    <w:pitch w:val="default"/>
    <w:sig w:usb0="00000000" w:usb1="00000000" w:usb2="00000000" w:usb3="00000000" w:csb0="00040000" w:csb1="00000000"/>
    <w:embedRegular r:id="rId7" w:fontKey="{59EE290B-76B3-4A03-B16F-9294D68268A6}"/>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embedRegular r:id="rId8" w:fontKey="{6D3AF95F-6413-4C74-A6C0-C72C242DF6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ECFE6">
    <w:pPr>
      <w:pStyle w:val="5"/>
      <w:ind w:firstLine="360"/>
      <w:jc w:val="center"/>
      <w:rPr>
        <w:sz w:val="21"/>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5B8078C">
                          <w:pPr>
                            <w:pStyle w:val="5"/>
                            <w:rPr>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xuOmM0QEAAKIDAAAOAAAAAAAAAAEAIAAAAB8BAABk&#10;cnMvZTJvRG9jLnhtbFBLBQYAAAAABgAGAFkBAABiBQAAAAA=&#10;">
              <v:fill on="f" focussize="0,0"/>
              <v:stroke on="f" weight="0.5pt"/>
              <v:imagedata o:title=""/>
              <o:lock v:ext="edit" aspectratio="f"/>
              <v:textbox inset="0mm,0mm,0mm,0mm" style="mso-fit-shape-to-text:t;">
                <w:txbxContent>
                  <w:p w14:paraId="55B8078C">
                    <w:pPr>
                      <w:pStyle w:val="5"/>
                      <w:rPr>
                        <w:sz w:val="24"/>
                        <w:szCs w:val="24"/>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D6013"/>
    <w:multiLevelType w:val="singleLevel"/>
    <w:tmpl w:val="BFED6013"/>
    <w:lvl w:ilvl="0" w:tentative="0">
      <w:start w:val="2"/>
      <w:numFmt w:val="chineseCounting"/>
      <w:suff w:val="nothing"/>
      <w:lvlText w:val="（%1）"/>
      <w:lvlJc w:val="left"/>
      <w:rPr>
        <w:rFonts w:hint="eastAsia"/>
      </w:rPr>
    </w:lvl>
  </w:abstractNum>
  <w:abstractNum w:abstractNumId="1">
    <w:nsid w:val="EBFD4BC7"/>
    <w:multiLevelType w:val="singleLevel"/>
    <w:tmpl w:val="EBFD4BC7"/>
    <w:lvl w:ilvl="0" w:tentative="0">
      <w:start w:val="5"/>
      <w:numFmt w:val="chineseCounting"/>
      <w:suff w:val="nothing"/>
      <w:lvlText w:val="%1、"/>
      <w:lvlJc w:val="left"/>
      <w:rPr>
        <w:rFonts w:hint="eastAsia"/>
      </w:rPr>
    </w:lvl>
  </w:abstractNum>
  <w:abstractNum w:abstractNumId="2">
    <w:nsid w:val="F1D3502F"/>
    <w:multiLevelType w:val="singleLevel"/>
    <w:tmpl w:val="F1D3502F"/>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40DD0"/>
    <w:rsid w:val="0025484A"/>
    <w:rsid w:val="00322BD4"/>
    <w:rsid w:val="00346002"/>
    <w:rsid w:val="003954A3"/>
    <w:rsid w:val="003A37AF"/>
    <w:rsid w:val="003D0F55"/>
    <w:rsid w:val="00401458"/>
    <w:rsid w:val="0043555C"/>
    <w:rsid w:val="004638DD"/>
    <w:rsid w:val="00463F0E"/>
    <w:rsid w:val="00486B3D"/>
    <w:rsid w:val="004D2D40"/>
    <w:rsid w:val="004E584A"/>
    <w:rsid w:val="00502ABA"/>
    <w:rsid w:val="005053F5"/>
    <w:rsid w:val="00586C0F"/>
    <w:rsid w:val="005D3E75"/>
    <w:rsid w:val="00764BCE"/>
    <w:rsid w:val="00951D9E"/>
    <w:rsid w:val="00954E62"/>
    <w:rsid w:val="00E70F33"/>
    <w:rsid w:val="00E73C22"/>
    <w:rsid w:val="00FE2D33"/>
    <w:rsid w:val="077A20DD"/>
    <w:rsid w:val="21C916A0"/>
    <w:rsid w:val="253F464D"/>
    <w:rsid w:val="39940DD0"/>
    <w:rsid w:val="54CD52B0"/>
    <w:rsid w:val="55D56AF1"/>
    <w:rsid w:val="65EA7AB0"/>
    <w:rsid w:val="67073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line="600" w:lineRule="exact"/>
      <w:ind w:firstLine="640"/>
      <w:outlineLvl w:val="0"/>
    </w:pPr>
    <w:rPr>
      <w:rFonts w:ascii="黑体" w:hAnsi="黑体" w:eastAsia="黑体" w:cs="宋体"/>
      <w:color w:val="000000"/>
      <w:kern w:val="0"/>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toc 3"/>
    <w:basedOn w:val="1"/>
    <w:next w:val="1"/>
    <w:qFormat/>
    <w:uiPriority w:val="39"/>
    <w:pPr>
      <w:ind w:left="840" w:leftChars="400"/>
    </w:pPr>
  </w:style>
  <w:style w:type="paragraph" w:styleId="5">
    <w:name w:val="footer"/>
    <w:basedOn w:val="1"/>
    <w:qFormat/>
    <w:uiPriority w:val="0"/>
    <w:pPr>
      <w:widowControl w:val="0"/>
      <w:tabs>
        <w:tab w:val="center" w:pos="4153"/>
        <w:tab w:val="right" w:pos="8306"/>
      </w:tabs>
      <w:snapToGrid w:val="0"/>
    </w:pPr>
    <w:rPr>
      <w:rFonts w:ascii="Times New Roman" w:hAnsi="Times New Roman"/>
      <w:kern w:val="2"/>
      <w:sz w:val="18"/>
      <w:lang w:val="en-US" w:eastAsia="zh-CN" w:bidi="ar-SA"/>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60" w:lineRule="exact"/>
      <w:jc w:val="center"/>
    </w:pPr>
    <w:rPr>
      <w:rFonts w:ascii="方正小标宋简体" w:hAnsi="方正小标宋简体" w:eastAsia="方正小标宋简体"/>
      <w:bCs/>
      <w:sz w:val="44"/>
      <w:szCs w:val="44"/>
    </w:rPr>
  </w:style>
  <w:style w:type="paragraph" w:styleId="11">
    <w:name w:val="List Paragraph"/>
    <w:basedOn w:val="1"/>
    <w:qFormat/>
    <w:uiPriority w:val="99"/>
    <w:pPr>
      <w:ind w:firstLine="420" w:firstLineChars="200"/>
    </w:pPr>
    <w:rPr>
      <w:rFonts w:ascii="Cambria" w:hAnsi="Cambria"/>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3090</Words>
  <Characters>3242</Characters>
  <Lines>273</Lines>
  <Paragraphs>174</Paragraphs>
  <TotalTime>3</TotalTime>
  <ScaleCrop>false</ScaleCrop>
  <LinksUpToDate>false</LinksUpToDate>
  <CharactersWithSpaces>3306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2025-07-31T12:00:00Z</dcterms:created>
  <dc:creator>卢克i</dc:creator>
  <cp:lastModifiedBy>ZL</cp:lastModifiedBy>
  <cp:lastPrinted>2025-08-01T08:29:00Z</cp:lastPrinted>
  <dcterms:modified xsi:type="dcterms:W3CDTF">2025-08-12T11:23:03Z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1FF29FE35FB7420DBC79A4D5C342EA5B</vt:lpwstr>
  </property>
  <property fmtid="{D5CDD505-2E9C-101B-9397-08002B2CF9AE}" pid="4" name="KSOTemplateDocerSaveRecord">
    <vt:lpwstr>eyJoZGlkIjoiMzEwNTM5NzYwMDRjMzkwZTVkZjY2ODkwMGIxNGU0OTUiLCJ1c2VySWQiOiI0NzY1ODg0MDAifQ==</vt:lpwstr>
  </property>
</Properties>
</file>