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2779E5">
      <w:pPr>
        <w:spacing w:line="560" w:lineRule="exact"/>
        <w:jc w:val="center"/>
        <w:outlineLvl w:val="0"/>
        <w:rPr>
          <w:rFonts w:ascii="方正小标宋简体" w:eastAsia="方正小标宋简体"/>
          <w:sz w:val="44"/>
          <w:szCs w:val="44"/>
          <w:highlight w:val="none"/>
        </w:rPr>
      </w:pPr>
      <w:r>
        <w:rPr>
          <w:rFonts w:hint="eastAsia" w:ascii="方正小标宋简体" w:eastAsia="方正小标宋简体"/>
          <w:sz w:val="44"/>
          <w:szCs w:val="44"/>
          <w:highlight w:val="none"/>
        </w:rPr>
        <w:t>北京市海淀区教育委员会</w:t>
      </w:r>
      <w:r>
        <w:rPr>
          <w:rFonts w:hint="eastAsia" w:ascii="方正小标宋简体" w:eastAsia="方正小标宋简体"/>
          <w:sz w:val="44"/>
          <w:szCs w:val="44"/>
          <w:highlight w:val="none"/>
          <w:lang w:eastAsia="zh-CN"/>
        </w:rPr>
        <w:t>2025</w:t>
      </w:r>
      <w:r>
        <w:rPr>
          <w:rFonts w:hint="eastAsia" w:ascii="方正小标宋简体" w:eastAsia="方正小标宋简体"/>
          <w:sz w:val="44"/>
          <w:szCs w:val="44"/>
          <w:highlight w:val="none"/>
        </w:rPr>
        <w:t>年度部门整体支出绩效自评报告</w:t>
      </w:r>
    </w:p>
    <w:p w14:paraId="3832B100">
      <w:pPr>
        <w:spacing w:line="560" w:lineRule="exact"/>
        <w:ind w:firstLine="420"/>
        <w:rPr>
          <w:rFonts w:ascii="仿宋_GB2312"/>
          <w:szCs w:val="30"/>
          <w:highlight w:val="none"/>
        </w:rPr>
      </w:pPr>
    </w:p>
    <w:p w14:paraId="13FB9EC2">
      <w:pPr>
        <w:overflowPunct w:val="0"/>
        <w:spacing w:line="560" w:lineRule="exact"/>
        <w:ind w:firstLine="640" w:firstLineChars="200"/>
        <w:outlineLvl w:val="0"/>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一、部门概况</w:t>
      </w:r>
    </w:p>
    <w:p w14:paraId="37E620BC">
      <w:pPr>
        <w:overflowPunct w:val="0"/>
        <w:spacing w:line="560" w:lineRule="exact"/>
        <w:ind w:firstLine="640" w:firstLineChars="200"/>
        <w:rPr>
          <w:rFonts w:ascii="楷体_GB2312" w:eastAsia="楷体_GB2312"/>
          <w:sz w:val="32"/>
          <w:szCs w:val="32"/>
          <w:highlight w:val="none"/>
        </w:rPr>
      </w:pPr>
      <w:r>
        <w:rPr>
          <w:rFonts w:hint="eastAsia" w:ascii="楷体_GB2312" w:eastAsia="楷体_GB2312"/>
          <w:sz w:val="32"/>
          <w:szCs w:val="32"/>
          <w:highlight w:val="none"/>
        </w:rPr>
        <w:t>（一）机构设置及职责工作任务情况</w:t>
      </w:r>
    </w:p>
    <w:p w14:paraId="2B28FDFD">
      <w:pPr>
        <w:overflowPunct w:val="0"/>
        <w:spacing w:line="560" w:lineRule="exact"/>
        <w:ind w:firstLine="640" w:firstLineChars="200"/>
        <w:rPr>
          <w:rFonts w:hint="eastAsia" w:ascii="楷体_GB2312" w:eastAsia="楷体_GB2312"/>
          <w:sz w:val="32"/>
          <w:szCs w:val="32"/>
          <w:highlight w:val="none"/>
        </w:rPr>
      </w:pPr>
      <w:r>
        <w:rPr>
          <w:rFonts w:hint="eastAsia" w:ascii="楷体_GB2312" w:eastAsia="楷体_GB2312"/>
          <w:sz w:val="32"/>
          <w:szCs w:val="32"/>
          <w:highlight w:val="none"/>
        </w:rPr>
        <w:t>1.部门机构设置</w:t>
      </w:r>
    </w:p>
    <w:p w14:paraId="2786BA35">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北京市海淀区教育委员会（以下简称“区教委”）部门机构设置包括教委机关及所属中小学、幼儿园、直属单位共计217个，其中行政单位1个，为北京市海淀区教育委员会（本级），全额拨款事业单位216个，包括小学83个，中学64个，幼儿园27个，职业高中2个，特殊教育学校1个，工读学校1个，直属单位12个，活动中心8个，教辅中心1个，学区17个。</w:t>
      </w:r>
    </w:p>
    <w:p w14:paraId="5B7C7978">
      <w:pPr>
        <w:overflowPunct w:val="0"/>
        <w:spacing w:line="560" w:lineRule="exact"/>
        <w:ind w:firstLine="640" w:firstLineChars="200"/>
        <w:rPr>
          <w:rFonts w:hint="eastAsia" w:ascii="楷体_GB2312" w:hAnsi="Times New Roman" w:eastAsia="楷体_GB2312" w:cs="Times New Roman"/>
          <w:sz w:val="32"/>
          <w:szCs w:val="32"/>
          <w:highlight w:val="none"/>
        </w:rPr>
      </w:pPr>
      <w:r>
        <w:rPr>
          <w:rFonts w:hint="eastAsia" w:ascii="楷体_GB2312" w:hAnsi="Times New Roman" w:eastAsia="楷体_GB2312" w:cs="Times New Roman"/>
          <w:sz w:val="32"/>
          <w:szCs w:val="32"/>
          <w:highlight w:val="none"/>
        </w:rPr>
        <w:t>2.部门主要职责</w:t>
      </w:r>
    </w:p>
    <w:p w14:paraId="0F16D2B3">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区教委是负责海淀区教育事业的区政府工作部门，区教委的主要职能如下：</w:t>
      </w:r>
    </w:p>
    <w:p w14:paraId="150F4E25">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（1）贯彻执行国家和北京市关于教育方面的方针、政策和法律、法规，制定本区教育事业的发展规划和工作计划，并组织实施。</w:t>
      </w:r>
    </w:p>
    <w:p w14:paraId="70A3A75E">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2）统筹、协调和指导本区教育工作，负责本区的基础教育、中等职业教育、特殊教育、成人教育、社区教育和区属高等教育工作；负责推进义务教育均衡发展和促进教育公平；负责建立各级各类教育相关标准体系并组织实施；负责教育系统社会信用体系建设。</w:t>
      </w:r>
    </w:p>
    <w:p w14:paraId="4E134A70">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（3）统筹规划、组织、协调本区教育改革工作，协调教育系统内部和外部关系。</w:t>
      </w:r>
    </w:p>
    <w:p w14:paraId="53662C6B">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（4）依法筹措教育资金，会同区政府有关部门统筹管理教育基建投资、教育事业经费和教育费附加；组织、指导本系统各核算单位开展会计核算和教育国有资产管理，监督教育经费预算的执行情况。</w:t>
      </w:r>
    </w:p>
    <w:p w14:paraId="5F7D1F36">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（5）负责区属教育系统人事工作，统筹、规划、指导教师队伍建设，指导各学校进行内部管理体制改革。</w:t>
      </w:r>
    </w:p>
    <w:p w14:paraId="472EEE54">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（6）负责区属教育系统的行政管理；负责各学校的教育教学、体育、美育、劳动、校外教育工作。</w:t>
      </w:r>
    </w:p>
    <w:p w14:paraId="621A3E18">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（7）负责本区中小学教学用书、各类竞赛的审批及备案工作，负责中小学生学籍管理工作。</w:t>
      </w:r>
    </w:p>
    <w:p w14:paraId="13BD93CE">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（8）负责本区义务教育入学工作；制定普通中学、职业高中的招生计划，并组织实施。</w:t>
      </w:r>
    </w:p>
    <w:p w14:paraId="0500386D">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（9）配合上级主管部门做好本区的学历教育及考试工作，负责中考、高考和高中会考的组考工作；规划、指导高中后继续教育工作，负责扫除本区青壮年文盲工作。</w:t>
      </w:r>
    </w:p>
    <w:p w14:paraId="2CEB2E3A">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（10）负责区属教育系统卫生、信访工作。</w:t>
      </w:r>
    </w:p>
    <w:p w14:paraId="3F5B9A82">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（11）负责区属教育系统对外交流工作。</w:t>
      </w:r>
    </w:p>
    <w:p w14:paraId="45A56E32">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（12）负责本区教育管理情报、统计资料及信息系统的开发和建设工作。</w:t>
      </w:r>
    </w:p>
    <w:p w14:paraId="76CD1205">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（13）负责区属教育系统的审计及教育执法工作。</w:t>
      </w:r>
    </w:p>
    <w:p w14:paraId="665A30A4">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（14）负责区属教育系统普法宣传和本区推广普通话、语言文字规范化建设工作。</w:t>
      </w:r>
    </w:p>
    <w:p w14:paraId="021FA65E">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（15）指导区教育学会、民办教育协会、海淀教育基金会等社团组织。</w:t>
      </w:r>
    </w:p>
    <w:p w14:paraId="6B34F02C">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（16）负责本区教育督导工作，负责各级各类教育发展状况和质量的监测以及各级各类学校办学状况和教育教学水平的督导评估。</w:t>
      </w:r>
    </w:p>
    <w:p w14:paraId="315D66E6">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（17）承办区委、区政府交办的其他事项。</w:t>
      </w:r>
    </w:p>
    <w:p w14:paraId="1EC94003">
      <w:pPr>
        <w:overflowPunct w:val="0"/>
        <w:spacing w:line="560" w:lineRule="exact"/>
        <w:ind w:firstLine="640" w:firstLineChars="200"/>
        <w:rPr>
          <w:rFonts w:hint="eastAsia" w:ascii="楷体_GB2312" w:hAnsi="Times New Roman" w:eastAsia="楷体_GB2312" w:cs="Times New Roman"/>
          <w:sz w:val="32"/>
          <w:szCs w:val="32"/>
          <w:highlight w:val="none"/>
        </w:rPr>
      </w:pPr>
      <w:r>
        <w:rPr>
          <w:rFonts w:hint="eastAsia" w:ascii="楷体_GB2312" w:hAnsi="Times New Roman" w:eastAsia="楷体_GB2312" w:cs="Times New Roman"/>
          <w:sz w:val="32"/>
          <w:szCs w:val="32"/>
          <w:highlight w:val="none"/>
        </w:rPr>
        <w:t>3.本预算年度的主要工作任务</w:t>
      </w:r>
    </w:p>
    <w:p w14:paraId="09DD5BDC">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2025年是“十四五”规划收官之年，也是编制“十五五”规划的关键一年。一年来，区委教工委区教委带领全区教育系统广大干部教师，深入落实全国及北京市教育大会精神，高质量、高水平召开海淀区教育大会，启动教育强国首善先行区建设，前瞻布局跨学段资源统筹，深化集团化办学等治理模式改革，推动区域教育高质量发展，各项工作取得显著成果。</w:t>
      </w:r>
    </w:p>
    <w:p w14:paraId="6505610F">
      <w:pPr>
        <w:overflowPunct w:val="0"/>
        <w:spacing w:line="560" w:lineRule="exact"/>
        <w:ind w:firstLine="640" w:firstLineChars="200"/>
        <w:rPr>
          <w:rFonts w:hint="eastAsia" w:ascii="楷体_GB2312" w:hAnsi="Times New Roman" w:eastAsia="楷体_GB2312" w:cs="Times New Roman"/>
          <w:sz w:val="32"/>
          <w:szCs w:val="32"/>
          <w:highlight w:val="none"/>
        </w:rPr>
      </w:pPr>
      <w:r>
        <w:rPr>
          <w:rFonts w:hint="eastAsia" w:ascii="楷体_GB2312" w:hAnsi="Times New Roman" w:eastAsia="楷体_GB2312" w:cs="Times New Roman"/>
          <w:sz w:val="32"/>
          <w:szCs w:val="32"/>
          <w:highlight w:val="none"/>
        </w:rPr>
        <w:t>（二）部门整体绩效目标设立情况</w:t>
      </w:r>
    </w:p>
    <w:p w14:paraId="05C56044">
      <w:pPr>
        <w:pStyle w:val="6"/>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年，区教委</w:t>
      </w:r>
      <w:r>
        <w:rPr>
          <w:rFonts w:hint="eastAsia" w:ascii="仿宋_GB2312" w:hAnsi="仿宋_GB2312" w:eastAsia="仿宋_GB2312" w:cs="仿宋_GB2312"/>
          <w:sz w:val="32"/>
          <w:szCs w:val="32"/>
          <w:highlight w:val="none"/>
          <w:lang w:val="en-US" w:eastAsia="zh-CN"/>
        </w:rPr>
        <w:t>以质量提升为目标，围绕</w:t>
      </w:r>
      <w:r>
        <w:rPr>
          <w:rFonts w:hint="eastAsia" w:ascii="仿宋_GB2312" w:hAnsi="仿宋_GB2312" w:eastAsia="仿宋_GB2312" w:cs="仿宋_GB2312"/>
          <w:sz w:val="32"/>
          <w:szCs w:val="32"/>
          <w:highlight w:val="none"/>
          <w:lang w:eastAsia="zh-CN"/>
        </w:rPr>
        <w:t>全区</w:t>
      </w:r>
      <w:r>
        <w:rPr>
          <w:rFonts w:hint="eastAsia" w:ascii="仿宋_GB2312" w:hAnsi="仿宋_GB2312" w:eastAsia="仿宋_GB2312" w:cs="仿宋_GB2312"/>
          <w:sz w:val="32"/>
          <w:szCs w:val="32"/>
          <w:highlight w:val="none"/>
        </w:rPr>
        <w:t>教育系统</w:t>
      </w:r>
      <w:r>
        <w:rPr>
          <w:rFonts w:hint="eastAsia" w:ascii="仿宋_GB2312" w:hAnsi="仿宋_GB2312" w:eastAsia="仿宋_GB2312" w:cs="仿宋_GB2312"/>
          <w:sz w:val="32"/>
          <w:szCs w:val="32"/>
          <w:highlight w:val="none"/>
          <w:lang w:eastAsia="zh-CN"/>
        </w:rPr>
        <w:t>加强党的领导，强化民生保障，坚持改革创新，提升育人质量，建强干部教师队伍，以习近平新时代中国特色社会主义思想为指导，</w:t>
      </w:r>
      <w:r>
        <w:rPr>
          <w:rFonts w:hint="eastAsia" w:ascii="仿宋_GB2312" w:hAnsi="仿宋_GB2312" w:eastAsia="仿宋_GB2312" w:cs="仿宋_GB2312"/>
          <w:sz w:val="32"/>
          <w:szCs w:val="32"/>
          <w:highlight w:val="none"/>
        </w:rPr>
        <w:t>设置年度部门整体绩效目标，具体绩效指标设置情况如下表：</w:t>
      </w:r>
    </w:p>
    <w:p w14:paraId="133BEA67">
      <w:pPr>
        <w:keepNext w:val="0"/>
        <w:keepLines w:val="0"/>
        <w:pageBreakBefore w:val="0"/>
        <w:widowControl w:val="0"/>
        <w:shd w:val="clear"/>
        <w:kinsoku/>
        <w:wordWrap/>
        <w:overflowPunct/>
        <w:topLinePunct w:val="0"/>
        <w:autoSpaceDE/>
        <w:autoSpaceDN/>
        <w:bidi w:val="0"/>
        <w:spacing w:line="560" w:lineRule="exact"/>
        <w:jc w:val="center"/>
        <w:textAlignment w:val="auto"/>
        <w:rPr>
          <w:rFonts w:hint="default" w:ascii="黑体" w:hAnsi="黑体" w:eastAsia="黑体" w:cs="Times New Roman"/>
          <w:sz w:val="28"/>
          <w:szCs w:val="28"/>
          <w:highlight w:val="none"/>
          <w:lang w:val="en-US" w:eastAsia="zh-CN"/>
        </w:rPr>
      </w:pPr>
      <w:r>
        <w:rPr>
          <w:rFonts w:hint="eastAsia" w:ascii="黑体" w:hAnsi="黑体" w:eastAsia="黑体" w:cs="Times New Roman"/>
          <w:sz w:val="28"/>
          <w:szCs w:val="28"/>
          <w:highlight w:val="none"/>
        </w:rPr>
        <w:t>表2：区教委202</w:t>
      </w:r>
      <w:r>
        <w:rPr>
          <w:rFonts w:hint="eastAsia" w:ascii="黑体" w:hAnsi="黑体" w:eastAsia="黑体" w:cs="Times New Roman"/>
          <w:sz w:val="28"/>
          <w:szCs w:val="28"/>
          <w:highlight w:val="none"/>
          <w:lang w:val="en-US" w:eastAsia="zh-CN"/>
        </w:rPr>
        <w:t>5</w:t>
      </w:r>
      <w:r>
        <w:rPr>
          <w:rFonts w:hint="eastAsia" w:ascii="黑体" w:hAnsi="黑体" w:eastAsia="黑体" w:cs="Times New Roman"/>
          <w:sz w:val="28"/>
          <w:szCs w:val="28"/>
          <w:highlight w:val="none"/>
        </w:rPr>
        <w:t>年度部门整体绩效</w:t>
      </w:r>
      <w:r>
        <w:rPr>
          <w:rFonts w:hint="eastAsia" w:ascii="黑体" w:hAnsi="黑体" w:eastAsia="黑体" w:cs="Times New Roman"/>
          <w:sz w:val="28"/>
          <w:szCs w:val="28"/>
          <w:highlight w:val="none"/>
          <w:lang w:val="en-US" w:eastAsia="zh-CN"/>
        </w:rPr>
        <w:t>指标</w:t>
      </w:r>
    </w:p>
    <w:tbl>
      <w:tblPr>
        <w:tblStyle w:val="12"/>
        <w:tblW w:w="12779"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83"/>
        <w:gridCol w:w="2713"/>
        <w:gridCol w:w="4942"/>
        <w:gridCol w:w="3741"/>
      </w:tblGrid>
      <w:tr w14:paraId="305C0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blHeader/>
        </w:trPr>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682B3">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000000"/>
                <w:sz w:val="20"/>
                <w:szCs w:val="20"/>
                <w:highlight w:val="none"/>
                <w:u w:val="none"/>
              </w:rPr>
            </w:pPr>
            <w:r>
              <w:rPr>
                <w:rFonts w:hint="eastAsia" w:asciiTheme="minorEastAsia" w:hAnsiTheme="minorEastAsia" w:eastAsiaTheme="minorEastAsia" w:cstheme="minorEastAsia"/>
                <w:b/>
                <w:bCs/>
                <w:i w:val="0"/>
                <w:iCs w:val="0"/>
                <w:color w:val="000000"/>
                <w:kern w:val="0"/>
                <w:sz w:val="20"/>
                <w:szCs w:val="20"/>
                <w:highlight w:val="none"/>
                <w:u w:val="none"/>
                <w:lang w:val="en-US" w:eastAsia="zh-CN" w:bidi="ar"/>
              </w:rPr>
              <w:t>一级指标</w:t>
            </w:r>
          </w:p>
        </w:tc>
        <w:tc>
          <w:tcPr>
            <w:tcW w:w="2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56395">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000000"/>
                <w:sz w:val="20"/>
                <w:szCs w:val="20"/>
                <w:highlight w:val="none"/>
                <w:u w:val="none"/>
              </w:rPr>
            </w:pPr>
            <w:r>
              <w:rPr>
                <w:rFonts w:hint="eastAsia" w:asciiTheme="minorEastAsia" w:hAnsiTheme="minorEastAsia" w:eastAsiaTheme="minorEastAsia" w:cstheme="minorEastAsia"/>
                <w:b/>
                <w:bCs/>
                <w:i w:val="0"/>
                <w:iCs w:val="0"/>
                <w:color w:val="000000"/>
                <w:kern w:val="0"/>
                <w:sz w:val="20"/>
                <w:szCs w:val="20"/>
                <w:highlight w:val="none"/>
                <w:u w:val="none"/>
                <w:lang w:val="en-US" w:eastAsia="zh-CN" w:bidi="ar"/>
              </w:rPr>
              <w:t>二级指标</w:t>
            </w:r>
          </w:p>
        </w:tc>
        <w:tc>
          <w:tcPr>
            <w:tcW w:w="4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65248">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000000"/>
                <w:sz w:val="20"/>
                <w:szCs w:val="20"/>
                <w:highlight w:val="none"/>
                <w:u w:val="none"/>
              </w:rPr>
            </w:pPr>
            <w:r>
              <w:rPr>
                <w:rFonts w:hint="eastAsia" w:asciiTheme="minorEastAsia" w:hAnsiTheme="minorEastAsia" w:eastAsiaTheme="minorEastAsia" w:cstheme="minorEastAsia"/>
                <w:b/>
                <w:bCs/>
                <w:i w:val="0"/>
                <w:iCs w:val="0"/>
                <w:color w:val="000000"/>
                <w:kern w:val="0"/>
                <w:sz w:val="20"/>
                <w:szCs w:val="20"/>
                <w:highlight w:val="none"/>
                <w:u w:val="none"/>
                <w:lang w:val="en-US" w:eastAsia="zh-CN" w:bidi="ar"/>
              </w:rPr>
              <w:t>三级指标</w:t>
            </w:r>
          </w:p>
        </w:tc>
        <w:tc>
          <w:tcPr>
            <w:tcW w:w="3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B3794">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000000"/>
                <w:sz w:val="20"/>
                <w:szCs w:val="20"/>
                <w:highlight w:val="none"/>
                <w:u w:val="none"/>
              </w:rPr>
            </w:pPr>
            <w:r>
              <w:rPr>
                <w:rFonts w:hint="eastAsia" w:asciiTheme="minorEastAsia" w:hAnsiTheme="minorEastAsia" w:eastAsiaTheme="minorEastAsia" w:cstheme="minorEastAsia"/>
                <w:b/>
                <w:bCs/>
                <w:i w:val="0"/>
                <w:iCs w:val="0"/>
                <w:color w:val="000000"/>
                <w:kern w:val="0"/>
                <w:sz w:val="20"/>
                <w:szCs w:val="20"/>
                <w:highlight w:val="none"/>
                <w:u w:val="none"/>
                <w:lang w:val="en-US" w:eastAsia="zh-CN" w:bidi="ar"/>
              </w:rPr>
              <w:t>指标值</w:t>
            </w:r>
          </w:p>
        </w:tc>
      </w:tr>
      <w:tr w14:paraId="04D07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4F540">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产出指标</w:t>
            </w:r>
          </w:p>
        </w:tc>
        <w:tc>
          <w:tcPr>
            <w:tcW w:w="271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C48BD">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数量指标</w:t>
            </w:r>
          </w:p>
        </w:tc>
        <w:tc>
          <w:tcPr>
            <w:tcW w:w="4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7DACD">
            <w:pPr>
              <w:keepNext w:val="0"/>
              <w:keepLines w:val="0"/>
              <w:widowControl/>
              <w:suppressLineNumbers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参加中小学阳光体育班级赛班级数</w:t>
            </w:r>
          </w:p>
        </w:tc>
        <w:tc>
          <w:tcPr>
            <w:tcW w:w="3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73F6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≥9000名</w:t>
            </w:r>
          </w:p>
        </w:tc>
      </w:tr>
      <w:tr w14:paraId="16940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D76EA">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71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6734C">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4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C2DD4">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新增中小学学位数</w:t>
            </w:r>
          </w:p>
        </w:tc>
        <w:tc>
          <w:tcPr>
            <w:tcW w:w="3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D3A9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≥7900个</w:t>
            </w:r>
          </w:p>
        </w:tc>
      </w:tr>
      <w:tr w14:paraId="5BFC3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613FE">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71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E29BD">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4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18E83">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新建改扩建项目</w:t>
            </w:r>
          </w:p>
        </w:tc>
        <w:tc>
          <w:tcPr>
            <w:tcW w:w="3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EF3BF">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≥9项</w:t>
            </w:r>
          </w:p>
        </w:tc>
      </w:tr>
      <w:tr w14:paraId="59CBD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92A47">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71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C4415">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4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B2DD8">
            <w:pPr>
              <w:keepNext w:val="0"/>
              <w:keepLines w:val="0"/>
              <w:widowControl/>
              <w:suppressLineNumbers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中小学食堂提升项目学校数量</w:t>
            </w:r>
          </w:p>
        </w:tc>
        <w:tc>
          <w:tcPr>
            <w:tcW w:w="3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74DB1">
            <w:pPr>
              <w:keepNext w:val="0"/>
              <w:keepLines w:val="0"/>
              <w:widowControl/>
              <w:suppressLineNumbers w:val="0"/>
              <w:snapToGrid w:val="0"/>
              <w:ind w:left="0" w:leftChars="0" w:right="0" w:rightChars="0" w:firstLine="0" w:firstLineChars="0"/>
              <w:jc w:val="center"/>
              <w:textAlignment w:val="top"/>
              <w:rPr>
                <w:rFonts w:hint="eastAsia" w:asciiTheme="minorEastAsia" w:hAnsiTheme="minorEastAsia" w:eastAsiaTheme="minorEastAsia" w:cstheme="minorEastAsia"/>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r>
              <w:rPr>
                <w:rFonts w:hint="eastAsia" w:ascii="宋体" w:hAnsi="宋体" w:cs="宋体"/>
                <w:i w:val="0"/>
                <w:iCs w:val="0"/>
                <w:color w:val="000000"/>
                <w:kern w:val="0"/>
                <w:sz w:val="20"/>
                <w:szCs w:val="20"/>
                <w:highlight w:val="none"/>
                <w:u w:val="none"/>
                <w:lang w:val="en-US" w:eastAsia="zh-CN" w:bidi="ar"/>
              </w:rPr>
              <w:t>99</w:t>
            </w:r>
            <w:r>
              <w:rPr>
                <w:rFonts w:hint="eastAsia" w:ascii="宋体" w:hAnsi="宋体" w:eastAsia="宋体" w:cs="宋体"/>
                <w:i w:val="0"/>
                <w:iCs w:val="0"/>
                <w:color w:val="000000"/>
                <w:kern w:val="0"/>
                <w:sz w:val="20"/>
                <w:szCs w:val="20"/>
                <w:highlight w:val="none"/>
                <w:u w:val="none"/>
                <w:lang w:val="en-US" w:eastAsia="zh-CN" w:bidi="ar"/>
              </w:rPr>
              <w:t>所</w:t>
            </w:r>
          </w:p>
        </w:tc>
      </w:tr>
      <w:tr w14:paraId="62418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38ED0">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71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6C525">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4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7218F">
            <w:pPr>
              <w:keepNext w:val="0"/>
              <w:keepLines w:val="0"/>
              <w:widowControl/>
              <w:suppressLineNumbers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推进十五年一贯制特殊教育学校建设数量</w:t>
            </w:r>
          </w:p>
        </w:tc>
        <w:tc>
          <w:tcPr>
            <w:tcW w:w="3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5CFAC">
            <w:pPr>
              <w:keepNext w:val="0"/>
              <w:keepLines w:val="0"/>
              <w:widowControl/>
              <w:suppressLineNumbers w:val="0"/>
              <w:snapToGrid w:val="0"/>
              <w:ind w:left="0" w:leftChars="0" w:right="0" w:rightChars="0" w:firstLine="0" w:firstLineChars="0"/>
              <w:jc w:val="center"/>
              <w:textAlignment w:val="top"/>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1所</w:t>
            </w:r>
          </w:p>
        </w:tc>
      </w:tr>
      <w:tr w14:paraId="474FA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F4147">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71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04E64">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4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08EB3">
            <w:pPr>
              <w:keepNext w:val="0"/>
              <w:keepLines w:val="0"/>
              <w:pageBreakBefore w:val="0"/>
              <w:widowControl/>
              <w:suppressLineNumbers w:val="0"/>
              <w:shd w:val="clear"/>
              <w:kinsoku/>
              <w:wordWrap/>
              <w:overflowPunct/>
              <w:topLinePunct w:val="0"/>
              <w:autoSpaceDE/>
              <w:autoSpaceDN/>
              <w:bidi w:val="0"/>
              <w:adjustRightInd w:val="0"/>
              <w:snapToGrid w:val="0"/>
              <w:jc w:val="both"/>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上放学高峰期巡查学校</w:t>
            </w:r>
          </w:p>
        </w:tc>
        <w:tc>
          <w:tcPr>
            <w:tcW w:w="3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B97D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≥400所次</w:t>
            </w:r>
          </w:p>
        </w:tc>
      </w:tr>
      <w:tr w14:paraId="29B6D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19946">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71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04D65">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4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88E1B">
            <w:pPr>
              <w:keepNext w:val="0"/>
              <w:keepLines w:val="0"/>
              <w:pageBreakBefore w:val="0"/>
              <w:widowControl/>
              <w:suppressLineNumbers w:val="0"/>
              <w:shd w:val="clear"/>
              <w:kinsoku/>
              <w:wordWrap/>
              <w:overflowPunct/>
              <w:topLinePunct w:val="0"/>
              <w:autoSpaceDE/>
              <w:autoSpaceDN/>
              <w:bidi w:val="0"/>
              <w:adjustRightInd w:val="0"/>
              <w:snapToGrid w:val="0"/>
              <w:jc w:val="both"/>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寄宿部安全检查学校</w:t>
            </w:r>
          </w:p>
        </w:tc>
        <w:tc>
          <w:tcPr>
            <w:tcW w:w="3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5016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≥100所次</w:t>
            </w:r>
          </w:p>
        </w:tc>
      </w:tr>
      <w:tr w14:paraId="1AA82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0D90B">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71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3C843">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4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E125F">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建筑物和消防安全检查学校</w:t>
            </w:r>
          </w:p>
        </w:tc>
        <w:tc>
          <w:tcPr>
            <w:tcW w:w="3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A08D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≥90所次</w:t>
            </w:r>
          </w:p>
        </w:tc>
      </w:tr>
      <w:tr w14:paraId="72E9C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22DD0">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71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75A23">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4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2F64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default" w:asciiTheme="minorEastAsia" w:hAnsiTheme="minorEastAsia" w:eastAsiaTheme="minorEastAsia" w:cstheme="minorEastAsia"/>
                <w:i w:val="0"/>
                <w:iCs w:val="0"/>
                <w:color w:val="000000"/>
                <w:kern w:val="0"/>
                <w:sz w:val="20"/>
                <w:szCs w:val="20"/>
                <w:highlight w:val="none"/>
                <w:u w:val="none"/>
                <w:lang w:val="en-US" w:eastAsia="zh-CN" w:bidi="ar"/>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开展党建督查</w:t>
            </w:r>
          </w:p>
        </w:tc>
        <w:tc>
          <w:tcPr>
            <w:tcW w:w="3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CDA1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default" w:asciiTheme="minorEastAsia" w:hAnsiTheme="minorEastAsia" w:eastAsiaTheme="minorEastAsia" w:cstheme="minorEastAsia"/>
                <w:i w:val="0"/>
                <w:iCs w:val="0"/>
                <w:color w:val="000000"/>
                <w:kern w:val="0"/>
                <w:sz w:val="20"/>
                <w:szCs w:val="20"/>
                <w:highlight w:val="none"/>
                <w:u w:val="none"/>
                <w:lang w:val="en-US" w:eastAsia="zh-CN" w:bidi="ar"/>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≥20所</w:t>
            </w:r>
          </w:p>
        </w:tc>
      </w:tr>
      <w:tr w14:paraId="52243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C6849">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71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509AD">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4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8BF10">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项目验收合格率</w:t>
            </w:r>
          </w:p>
        </w:tc>
        <w:tc>
          <w:tcPr>
            <w:tcW w:w="3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B558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100%</w:t>
            </w:r>
          </w:p>
        </w:tc>
      </w:tr>
      <w:tr w14:paraId="139EB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0D5BD">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0126E">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质量指标</w:t>
            </w:r>
          </w:p>
        </w:tc>
        <w:tc>
          <w:tcPr>
            <w:tcW w:w="4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0572E">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年度工作任务完成时间</w:t>
            </w:r>
          </w:p>
        </w:tc>
        <w:tc>
          <w:tcPr>
            <w:tcW w:w="3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FAB7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12月底</w:t>
            </w:r>
          </w:p>
        </w:tc>
      </w:tr>
      <w:tr w14:paraId="0DF74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30FB7">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0BCE9">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进度指标</w:t>
            </w:r>
          </w:p>
        </w:tc>
        <w:tc>
          <w:tcPr>
            <w:tcW w:w="4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7169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加强区教育系统党的领导</w:t>
            </w:r>
          </w:p>
        </w:tc>
        <w:tc>
          <w:tcPr>
            <w:tcW w:w="3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65BE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r>
      <w:tr w14:paraId="4E34C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0BB3B">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效益指标</w:t>
            </w:r>
          </w:p>
        </w:tc>
        <w:tc>
          <w:tcPr>
            <w:tcW w:w="271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9F793">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社会效益指标</w:t>
            </w:r>
          </w:p>
        </w:tc>
        <w:tc>
          <w:tcPr>
            <w:tcW w:w="4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EE901">
            <w:pPr>
              <w:keepNext w:val="0"/>
              <w:keepLines w:val="0"/>
              <w:widowControl/>
              <w:suppressLineNumbers w:val="0"/>
              <w:shd w:val="clear"/>
              <w:adjustRightInd w:val="0"/>
              <w:snapToGrid w:val="0"/>
              <w:jc w:val="left"/>
              <w:textAlignment w:val="center"/>
              <w:rPr>
                <w:rFonts w:hint="eastAsia" w:asciiTheme="minorEastAsia" w:hAnsiTheme="minorEastAsia" w:eastAsiaTheme="minorEastAsia" w:cstheme="minorEastAsia"/>
                <w:i w:val="0"/>
                <w:iCs w:val="0"/>
                <w:color w:val="000000"/>
                <w:kern w:val="0"/>
                <w:sz w:val="20"/>
                <w:szCs w:val="20"/>
                <w:highlight w:val="none"/>
                <w:u w:val="none"/>
                <w:lang w:val="en-US" w:bidi="ar"/>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普惠性幼儿园覆盖率</w:t>
            </w:r>
          </w:p>
        </w:tc>
        <w:tc>
          <w:tcPr>
            <w:tcW w:w="3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D34C3">
            <w:pPr>
              <w:keepNext w:val="0"/>
              <w:keepLines w:val="0"/>
              <w:widowControl/>
              <w:suppressLineNumbers w:val="0"/>
              <w:shd w:val="clear"/>
              <w:adjustRightInd w:val="0"/>
              <w:snapToGrid w:val="0"/>
              <w:jc w:val="center"/>
              <w:textAlignment w:val="center"/>
              <w:rPr>
                <w:rFonts w:hint="eastAsia" w:asciiTheme="minorEastAsia" w:hAnsiTheme="minorEastAsia" w:eastAsiaTheme="minorEastAsia" w:cstheme="minorEastAsia"/>
                <w:i w:val="0"/>
                <w:iCs w:val="0"/>
                <w:color w:val="000000"/>
                <w:kern w:val="0"/>
                <w:sz w:val="20"/>
                <w:szCs w:val="20"/>
                <w:highlight w:val="none"/>
                <w:u w:val="none"/>
                <w:lang w:bidi="ar"/>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≥91%</w:t>
            </w:r>
          </w:p>
        </w:tc>
      </w:tr>
      <w:tr w14:paraId="71D90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F0FE1">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71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E0C66">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4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32151">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教育改革创新</w:t>
            </w:r>
          </w:p>
        </w:tc>
        <w:tc>
          <w:tcPr>
            <w:tcW w:w="3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9A42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r>
      <w:tr w14:paraId="5A3DF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9B585">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71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51838">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4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0B039">
            <w:pPr>
              <w:keepNext w:val="0"/>
              <w:keepLines w:val="0"/>
              <w:pageBreakBefore w:val="0"/>
              <w:widowControl/>
              <w:suppressLineNumbers w:val="0"/>
              <w:shd w:val="clear"/>
              <w:kinsoku/>
              <w:wordWrap/>
              <w:overflowPunct/>
              <w:topLinePunct w:val="0"/>
              <w:autoSpaceDE/>
              <w:autoSpaceDN/>
              <w:bidi w:val="0"/>
              <w:adjustRightInd w:val="0"/>
              <w:snapToGrid w:val="0"/>
              <w:jc w:val="both"/>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不断提升育人质量</w:t>
            </w:r>
          </w:p>
        </w:tc>
        <w:tc>
          <w:tcPr>
            <w:tcW w:w="3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21B3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r>
      <w:tr w14:paraId="6C892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F33F6">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71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60CD9">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4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52D47">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建强干部教师队伍</w:t>
            </w:r>
          </w:p>
        </w:tc>
        <w:tc>
          <w:tcPr>
            <w:tcW w:w="3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BBC4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r>
      <w:tr w14:paraId="0CC11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AA9FA">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71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4E12C">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4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E8D8F">
            <w:pPr>
              <w:keepNext w:val="0"/>
              <w:keepLines w:val="0"/>
              <w:pageBreakBefore w:val="0"/>
              <w:widowControl/>
              <w:suppressLineNumbers w:val="0"/>
              <w:shd w:val="clear"/>
              <w:kinsoku/>
              <w:wordWrap/>
              <w:overflowPunct/>
              <w:topLinePunct w:val="0"/>
              <w:autoSpaceDE/>
              <w:autoSpaceDN/>
              <w:bidi w:val="0"/>
              <w:adjustRightInd w:val="0"/>
              <w:snapToGrid w:val="0"/>
              <w:jc w:val="both"/>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完善治理体系</w:t>
            </w:r>
          </w:p>
        </w:tc>
        <w:tc>
          <w:tcPr>
            <w:tcW w:w="3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EFCC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r>
      <w:tr w14:paraId="3A815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0DB4E">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满意度指标</w:t>
            </w:r>
          </w:p>
        </w:tc>
        <w:tc>
          <w:tcPr>
            <w:tcW w:w="27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DECD4">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服务对象满意度指标</w:t>
            </w:r>
          </w:p>
        </w:tc>
        <w:tc>
          <w:tcPr>
            <w:tcW w:w="49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F7414">
            <w:pPr>
              <w:keepNext w:val="0"/>
              <w:keepLines w:val="0"/>
              <w:widowControl/>
              <w:suppressLineNumbers w:val="0"/>
              <w:snapToGrid w:val="0"/>
              <w:ind w:left="0" w:leftChars="0" w:right="0" w:rightChars="0" w:firstLine="0" w:firstLineChars="0"/>
              <w:jc w:val="left"/>
              <w:textAlignment w:val="top"/>
              <w:rPr>
                <w:rFonts w:hint="eastAsia" w:asciiTheme="minorEastAsia" w:hAnsiTheme="minorEastAsia" w:eastAsiaTheme="minorEastAsia" w:cstheme="minorEastAsia"/>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参加中小学阳光体育班级赛班级数</w:t>
            </w:r>
          </w:p>
        </w:tc>
        <w:tc>
          <w:tcPr>
            <w:tcW w:w="3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0F25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≥9000名</w:t>
            </w:r>
          </w:p>
        </w:tc>
      </w:tr>
    </w:tbl>
    <w:p w14:paraId="7B579603">
      <w:pPr>
        <w:overflowPunct w:val="0"/>
        <w:spacing w:line="560" w:lineRule="exact"/>
        <w:ind w:firstLine="640" w:firstLineChars="200"/>
        <w:outlineLvl w:val="0"/>
        <w:rPr>
          <w:rFonts w:ascii="黑体" w:hAnsi="黑体" w:eastAsia="黑体" w:cs="宋体"/>
          <w:color w:val="000000"/>
          <w:kern w:val="0"/>
          <w:sz w:val="32"/>
          <w:szCs w:val="32"/>
          <w:highlight w:val="none"/>
        </w:rPr>
      </w:pPr>
      <w:r>
        <w:rPr>
          <w:rFonts w:ascii="黑体" w:hAnsi="黑体" w:eastAsia="黑体" w:cs="宋体"/>
          <w:color w:val="000000"/>
          <w:kern w:val="0"/>
          <w:sz w:val="32"/>
          <w:szCs w:val="32"/>
          <w:highlight w:val="none"/>
        </w:rPr>
        <w:t>二、</w:t>
      </w:r>
      <w:r>
        <w:rPr>
          <w:rFonts w:hint="eastAsia" w:ascii="黑体" w:hAnsi="黑体" w:eastAsia="黑体" w:cs="宋体"/>
          <w:color w:val="000000"/>
          <w:kern w:val="0"/>
          <w:sz w:val="32"/>
          <w:szCs w:val="32"/>
          <w:highlight w:val="none"/>
        </w:rPr>
        <w:t>当年预算执行情况</w:t>
      </w:r>
    </w:p>
    <w:p w14:paraId="4EBFF986">
      <w:pPr>
        <w:overflowPunct w:val="0"/>
        <w:spacing w:line="560" w:lineRule="exact"/>
        <w:ind w:firstLine="640" w:firstLineChars="200"/>
        <w:rPr>
          <w:rFonts w:ascii="仿宋_GB2312" w:hAnsi="仿宋_GB2312" w:eastAsia="仿宋_GB2312" w:cs="仿宋_GB2312"/>
          <w:sz w:val="32"/>
          <w:highlight w:val="none"/>
        </w:rPr>
      </w:pPr>
      <w:r>
        <w:rPr>
          <w:rFonts w:hint="eastAsia" w:ascii="仿宋_GB2312" w:hAnsi="仿宋_GB2312" w:eastAsia="仿宋_GB2312" w:cs="仿宋_GB2312"/>
          <w:sz w:val="32"/>
          <w:highlight w:val="none"/>
        </w:rPr>
        <w:t>2025年全年预算数1,979,936.80万元，其中，基本支出预算数1,401,980.38万元，项目支出预算数577,956.42万元。全年支出1,880,374.90万元，其中，基本支出1,385,533.65万元，项目支出494,841.25万元。预算执行率为94.97%。</w:t>
      </w:r>
    </w:p>
    <w:p w14:paraId="7DB05C73">
      <w:pPr>
        <w:overflowPunct w:val="0"/>
        <w:spacing w:line="560" w:lineRule="exact"/>
        <w:ind w:firstLine="640" w:firstLineChars="200"/>
        <w:outlineLvl w:val="0"/>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三、整体绩效目标实现情况</w:t>
      </w:r>
    </w:p>
    <w:p w14:paraId="42F44C3E">
      <w:pPr>
        <w:overflowPunct w:val="0"/>
        <w:spacing w:line="560" w:lineRule="exact"/>
        <w:ind w:firstLine="640" w:firstLineChars="200"/>
        <w:outlineLvl w:val="1"/>
        <w:rPr>
          <w:rFonts w:hint="eastAsia" w:ascii="楷体_GB2312" w:eastAsia="楷体_GB2312"/>
          <w:sz w:val="32"/>
          <w:szCs w:val="32"/>
          <w:highlight w:val="none"/>
        </w:rPr>
      </w:pPr>
      <w:r>
        <w:rPr>
          <w:rFonts w:hint="eastAsia" w:ascii="楷体_GB2312" w:eastAsia="楷体_GB2312"/>
          <w:sz w:val="32"/>
          <w:szCs w:val="32"/>
          <w:highlight w:val="none"/>
        </w:rPr>
        <w:t>（一）产出完成情况分析</w:t>
      </w:r>
    </w:p>
    <w:p w14:paraId="30350188">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2"/>
          <w:sz w:val="32"/>
          <w:szCs w:val="24"/>
          <w:highlight w:val="none"/>
          <w:lang w:val="en-US" w:eastAsia="zh-CN" w:bidi="ar-SA"/>
        </w:rPr>
      </w:pPr>
      <w:r>
        <w:rPr>
          <w:rFonts w:hint="eastAsia" w:ascii="仿宋_GB2312" w:hAnsi="仿宋_GB2312" w:eastAsia="仿宋_GB2312" w:cs="仿宋_GB2312"/>
          <w:kern w:val="2"/>
          <w:sz w:val="32"/>
          <w:szCs w:val="24"/>
          <w:highlight w:val="none"/>
          <w:lang w:val="en-US" w:eastAsia="zh-CN" w:bidi="ar-SA"/>
        </w:rPr>
        <w:t>2025年，区教委严格落实年度重点工作任务，各项产出已按照计划完成，具体完成情况如下表：</w:t>
      </w:r>
    </w:p>
    <w:p w14:paraId="2FA3BEF3">
      <w:pPr>
        <w:keepNext w:val="0"/>
        <w:keepLines w:val="0"/>
        <w:pageBreakBefore w:val="0"/>
        <w:widowControl w:val="0"/>
        <w:shd w:val="clear"/>
        <w:kinsoku/>
        <w:wordWrap/>
        <w:overflowPunct/>
        <w:topLinePunct w:val="0"/>
        <w:autoSpaceDE/>
        <w:autoSpaceDN/>
        <w:bidi w:val="0"/>
        <w:spacing w:line="560" w:lineRule="exact"/>
        <w:jc w:val="center"/>
        <w:textAlignment w:val="auto"/>
        <w:rPr>
          <w:rFonts w:hint="eastAsia" w:ascii="黑体" w:hAnsi="黑体" w:eastAsia="黑体" w:cs="Times New Roman"/>
          <w:sz w:val="28"/>
          <w:szCs w:val="28"/>
          <w:highlight w:val="none"/>
        </w:rPr>
      </w:pPr>
      <w:r>
        <w:rPr>
          <w:rFonts w:hint="eastAsia" w:ascii="黑体" w:hAnsi="黑体" w:eastAsia="黑体" w:cs="Times New Roman"/>
          <w:sz w:val="28"/>
          <w:szCs w:val="28"/>
          <w:highlight w:val="none"/>
        </w:rPr>
        <w:t>表3</w:t>
      </w:r>
      <w:r>
        <w:rPr>
          <w:rFonts w:hint="eastAsia" w:ascii="黑体" w:hAnsi="黑体" w:eastAsia="黑体" w:cs="Times New Roman"/>
          <w:sz w:val="28"/>
          <w:szCs w:val="28"/>
          <w:highlight w:val="none"/>
          <w:lang w:eastAsia="zh-CN"/>
        </w:rPr>
        <w:t>：</w:t>
      </w:r>
      <w:r>
        <w:rPr>
          <w:rFonts w:hint="eastAsia" w:ascii="黑体" w:hAnsi="黑体" w:eastAsia="黑体" w:cs="Times New Roman"/>
          <w:sz w:val="28"/>
          <w:szCs w:val="28"/>
          <w:highlight w:val="none"/>
        </w:rPr>
        <w:t>202</w:t>
      </w:r>
      <w:r>
        <w:rPr>
          <w:rFonts w:hint="eastAsia" w:ascii="黑体" w:hAnsi="黑体" w:eastAsia="黑体" w:cs="Times New Roman"/>
          <w:sz w:val="28"/>
          <w:szCs w:val="28"/>
          <w:highlight w:val="none"/>
          <w:lang w:val="en-US" w:eastAsia="zh-CN"/>
        </w:rPr>
        <w:t>5</w:t>
      </w:r>
      <w:r>
        <w:rPr>
          <w:rFonts w:hint="eastAsia" w:ascii="黑体" w:hAnsi="黑体" w:eastAsia="黑体" w:cs="Times New Roman"/>
          <w:sz w:val="28"/>
          <w:szCs w:val="28"/>
          <w:highlight w:val="none"/>
        </w:rPr>
        <w:t>年区教委年度重点工作产出完成情况</w:t>
      </w:r>
    </w:p>
    <w:tbl>
      <w:tblPr>
        <w:tblStyle w:val="12"/>
        <w:tblW w:w="12771"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41"/>
        <w:gridCol w:w="4873"/>
        <w:gridCol w:w="3581"/>
        <w:gridCol w:w="3276"/>
      </w:tblGrid>
      <w:tr w14:paraId="5E942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A0C8B">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4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F8B08">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绩效指标</w:t>
            </w:r>
          </w:p>
        </w:tc>
        <w:tc>
          <w:tcPr>
            <w:tcW w:w="3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CFF1C">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计划值</w:t>
            </w:r>
          </w:p>
        </w:tc>
        <w:tc>
          <w:tcPr>
            <w:tcW w:w="3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11D9D">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完成值</w:t>
            </w:r>
          </w:p>
        </w:tc>
      </w:tr>
      <w:tr w14:paraId="6248B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A765C">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4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BD5A6">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参加中小学阳光体育班级赛班级数</w:t>
            </w:r>
          </w:p>
        </w:tc>
        <w:tc>
          <w:tcPr>
            <w:tcW w:w="3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1FB7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≥9000名</w:t>
            </w:r>
          </w:p>
        </w:tc>
        <w:tc>
          <w:tcPr>
            <w:tcW w:w="3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78A4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9490</w:t>
            </w:r>
            <w:r>
              <w:rPr>
                <w:rFonts w:hint="eastAsia" w:ascii="宋体" w:hAnsi="宋体" w:eastAsia="宋体" w:cs="宋体"/>
                <w:i w:val="0"/>
                <w:iCs w:val="0"/>
                <w:color w:val="000000"/>
                <w:kern w:val="0"/>
                <w:sz w:val="20"/>
                <w:szCs w:val="20"/>
                <w:highlight w:val="none"/>
                <w:u w:val="none"/>
                <w:lang w:val="en-US" w:eastAsia="zh-CN" w:bidi="ar"/>
              </w:rPr>
              <w:t>名</w:t>
            </w:r>
          </w:p>
        </w:tc>
      </w:tr>
      <w:tr w14:paraId="76831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40EA1">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4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D7C2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新增中小学学位数</w:t>
            </w:r>
          </w:p>
        </w:tc>
        <w:tc>
          <w:tcPr>
            <w:tcW w:w="3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E5E4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≥7900个</w:t>
            </w:r>
          </w:p>
        </w:tc>
        <w:tc>
          <w:tcPr>
            <w:tcW w:w="3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7D0D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7910</w:t>
            </w:r>
            <w:r>
              <w:rPr>
                <w:rFonts w:hint="eastAsia" w:ascii="宋体" w:hAnsi="宋体" w:eastAsia="宋体" w:cs="宋体"/>
                <w:i w:val="0"/>
                <w:iCs w:val="0"/>
                <w:color w:val="000000"/>
                <w:kern w:val="0"/>
                <w:sz w:val="20"/>
                <w:szCs w:val="20"/>
                <w:highlight w:val="none"/>
                <w:u w:val="none"/>
                <w:lang w:val="en-US" w:eastAsia="zh-CN" w:bidi="ar"/>
              </w:rPr>
              <w:t>个</w:t>
            </w:r>
          </w:p>
        </w:tc>
      </w:tr>
      <w:tr w14:paraId="13495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29588">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w:t>
            </w:r>
          </w:p>
        </w:tc>
        <w:tc>
          <w:tcPr>
            <w:tcW w:w="4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98B04">
            <w:pPr>
              <w:keepNext w:val="0"/>
              <w:keepLines w:val="0"/>
              <w:widowControl/>
              <w:suppressLineNumbers w:val="0"/>
              <w:shd w:val="clear"/>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新建改扩建项目</w:t>
            </w:r>
          </w:p>
        </w:tc>
        <w:tc>
          <w:tcPr>
            <w:tcW w:w="3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DD326">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≥9项</w:t>
            </w:r>
          </w:p>
        </w:tc>
        <w:tc>
          <w:tcPr>
            <w:tcW w:w="3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85DF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9</w:t>
            </w:r>
            <w:r>
              <w:rPr>
                <w:rFonts w:hint="eastAsia" w:ascii="宋体" w:hAnsi="宋体" w:eastAsia="宋体" w:cs="宋体"/>
                <w:i w:val="0"/>
                <w:iCs w:val="0"/>
                <w:color w:val="000000"/>
                <w:kern w:val="0"/>
                <w:sz w:val="20"/>
                <w:szCs w:val="20"/>
                <w:highlight w:val="none"/>
                <w:u w:val="none"/>
                <w:lang w:val="en-US" w:eastAsia="zh-CN" w:bidi="ar"/>
              </w:rPr>
              <w:t>项</w:t>
            </w:r>
          </w:p>
        </w:tc>
      </w:tr>
      <w:tr w14:paraId="4AC89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AA054">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4</w:t>
            </w:r>
          </w:p>
        </w:tc>
        <w:tc>
          <w:tcPr>
            <w:tcW w:w="4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2C70B">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中小学食堂提升项目学校数量</w:t>
            </w:r>
          </w:p>
        </w:tc>
        <w:tc>
          <w:tcPr>
            <w:tcW w:w="3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420A8">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r>
              <w:rPr>
                <w:rFonts w:hint="eastAsia" w:ascii="宋体" w:hAnsi="宋体" w:cs="宋体"/>
                <w:i w:val="0"/>
                <w:iCs w:val="0"/>
                <w:color w:val="000000"/>
                <w:kern w:val="0"/>
                <w:sz w:val="20"/>
                <w:szCs w:val="20"/>
                <w:highlight w:val="none"/>
                <w:u w:val="none"/>
                <w:lang w:val="en-US" w:eastAsia="zh-CN" w:bidi="ar"/>
              </w:rPr>
              <w:t>99</w:t>
            </w:r>
            <w:r>
              <w:rPr>
                <w:rFonts w:hint="eastAsia" w:ascii="宋体" w:hAnsi="宋体" w:eastAsia="宋体" w:cs="宋体"/>
                <w:i w:val="0"/>
                <w:iCs w:val="0"/>
                <w:color w:val="000000"/>
                <w:kern w:val="0"/>
                <w:sz w:val="20"/>
                <w:szCs w:val="20"/>
                <w:highlight w:val="none"/>
                <w:u w:val="none"/>
                <w:lang w:val="en-US" w:eastAsia="zh-CN" w:bidi="ar"/>
              </w:rPr>
              <w:t>所</w:t>
            </w:r>
          </w:p>
        </w:tc>
        <w:tc>
          <w:tcPr>
            <w:tcW w:w="3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0DEE1">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199所</w:t>
            </w:r>
          </w:p>
        </w:tc>
      </w:tr>
      <w:tr w14:paraId="49099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F38E5">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5</w:t>
            </w:r>
          </w:p>
        </w:tc>
        <w:tc>
          <w:tcPr>
            <w:tcW w:w="4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FA454">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推进十五年一贯制特殊教育学校建设数量</w:t>
            </w:r>
          </w:p>
        </w:tc>
        <w:tc>
          <w:tcPr>
            <w:tcW w:w="3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7BE4A">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1所</w:t>
            </w:r>
          </w:p>
        </w:tc>
        <w:tc>
          <w:tcPr>
            <w:tcW w:w="3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B7314">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1所</w:t>
            </w:r>
          </w:p>
        </w:tc>
      </w:tr>
      <w:tr w14:paraId="50B75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65025">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6</w:t>
            </w:r>
          </w:p>
        </w:tc>
        <w:tc>
          <w:tcPr>
            <w:tcW w:w="4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BE607">
            <w:pPr>
              <w:keepNext w:val="0"/>
              <w:keepLines w:val="0"/>
              <w:pageBreakBefore w:val="0"/>
              <w:widowControl/>
              <w:suppressLineNumbers w:val="0"/>
              <w:shd w:val="clear"/>
              <w:kinsoku/>
              <w:wordWrap/>
              <w:overflowPunct/>
              <w:topLinePunct w:val="0"/>
              <w:autoSpaceDE/>
              <w:autoSpaceDN/>
              <w:bidi w:val="0"/>
              <w:adjustRightInd w:val="0"/>
              <w:snapToGrid w:val="0"/>
              <w:jc w:val="both"/>
              <w:textAlignment w:val="center"/>
              <w:rPr>
                <w:rFonts w:hint="eastAsia" w:ascii="宋体" w:hAnsi="宋体" w:eastAsia="宋体" w:cs="宋体"/>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上放学高峰期巡查学校</w:t>
            </w:r>
          </w:p>
        </w:tc>
        <w:tc>
          <w:tcPr>
            <w:tcW w:w="3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EB35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≥400所次</w:t>
            </w:r>
          </w:p>
        </w:tc>
        <w:tc>
          <w:tcPr>
            <w:tcW w:w="3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2A76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459</w:t>
            </w:r>
            <w:r>
              <w:rPr>
                <w:rFonts w:hint="eastAsia" w:ascii="宋体" w:hAnsi="宋体" w:eastAsia="宋体" w:cs="宋体"/>
                <w:i w:val="0"/>
                <w:iCs w:val="0"/>
                <w:color w:val="000000"/>
                <w:kern w:val="0"/>
                <w:sz w:val="20"/>
                <w:szCs w:val="20"/>
                <w:highlight w:val="none"/>
                <w:u w:val="none"/>
                <w:lang w:val="en-US" w:eastAsia="zh-CN" w:bidi="ar"/>
              </w:rPr>
              <w:t>所次</w:t>
            </w:r>
          </w:p>
        </w:tc>
      </w:tr>
      <w:tr w14:paraId="60EB9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EE9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7</w:t>
            </w:r>
          </w:p>
        </w:tc>
        <w:tc>
          <w:tcPr>
            <w:tcW w:w="4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AC8EC">
            <w:pPr>
              <w:keepNext w:val="0"/>
              <w:keepLines w:val="0"/>
              <w:pageBreakBefore w:val="0"/>
              <w:widowControl/>
              <w:suppressLineNumbers w:val="0"/>
              <w:shd w:val="clear"/>
              <w:kinsoku/>
              <w:wordWrap/>
              <w:overflowPunct/>
              <w:topLinePunct w:val="0"/>
              <w:autoSpaceDE/>
              <w:autoSpaceDN/>
              <w:bidi w:val="0"/>
              <w:adjustRightInd w:val="0"/>
              <w:snapToGrid w:val="0"/>
              <w:jc w:val="both"/>
              <w:textAlignment w:val="center"/>
              <w:rPr>
                <w:rFonts w:hint="eastAsia" w:ascii="宋体" w:hAnsi="宋体" w:eastAsia="宋体" w:cs="宋体"/>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寄宿部安全检查学校</w:t>
            </w:r>
          </w:p>
        </w:tc>
        <w:tc>
          <w:tcPr>
            <w:tcW w:w="3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10DB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≥100所次</w:t>
            </w:r>
          </w:p>
        </w:tc>
        <w:tc>
          <w:tcPr>
            <w:tcW w:w="3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8CD5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120</w:t>
            </w:r>
            <w:r>
              <w:rPr>
                <w:rFonts w:hint="eastAsia" w:ascii="宋体" w:hAnsi="宋体" w:eastAsia="宋体" w:cs="宋体"/>
                <w:i w:val="0"/>
                <w:iCs w:val="0"/>
                <w:color w:val="000000"/>
                <w:kern w:val="0"/>
                <w:sz w:val="20"/>
                <w:szCs w:val="20"/>
                <w:highlight w:val="none"/>
                <w:u w:val="none"/>
                <w:lang w:val="en-US" w:eastAsia="zh-CN" w:bidi="ar"/>
              </w:rPr>
              <w:t>所次</w:t>
            </w:r>
          </w:p>
        </w:tc>
      </w:tr>
      <w:tr w14:paraId="7F799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7937A">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8</w:t>
            </w:r>
          </w:p>
        </w:tc>
        <w:tc>
          <w:tcPr>
            <w:tcW w:w="4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96E81">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建筑物和消防安全检查学校</w:t>
            </w:r>
          </w:p>
        </w:tc>
        <w:tc>
          <w:tcPr>
            <w:tcW w:w="3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E09E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≥90所次</w:t>
            </w:r>
          </w:p>
        </w:tc>
        <w:tc>
          <w:tcPr>
            <w:tcW w:w="3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44AD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107</w:t>
            </w:r>
            <w:r>
              <w:rPr>
                <w:rFonts w:hint="eastAsia" w:ascii="宋体" w:hAnsi="宋体" w:eastAsia="宋体" w:cs="宋体"/>
                <w:i w:val="0"/>
                <w:iCs w:val="0"/>
                <w:color w:val="000000"/>
                <w:kern w:val="0"/>
                <w:sz w:val="20"/>
                <w:szCs w:val="20"/>
                <w:highlight w:val="none"/>
                <w:u w:val="none"/>
                <w:lang w:val="en-US" w:eastAsia="zh-CN" w:bidi="ar"/>
              </w:rPr>
              <w:t>所次</w:t>
            </w:r>
          </w:p>
        </w:tc>
      </w:tr>
      <w:tr w14:paraId="748D5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2FD42">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9</w:t>
            </w:r>
          </w:p>
        </w:tc>
        <w:tc>
          <w:tcPr>
            <w:tcW w:w="4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E518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开展党建督查</w:t>
            </w:r>
          </w:p>
        </w:tc>
        <w:tc>
          <w:tcPr>
            <w:tcW w:w="3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FD90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≥20所</w:t>
            </w:r>
          </w:p>
        </w:tc>
        <w:tc>
          <w:tcPr>
            <w:tcW w:w="3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B340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36</w:t>
            </w:r>
            <w:r>
              <w:rPr>
                <w:rFonts w:hint="eastAsia" w:ascii="宋体" w:hAnsi="宋体" w:eastAsia="宋体" w:cs="宋体"/>
                <w:i w:val="0"/>
                <w:iCs w:val="0"/>
                <w:color w:val="000000"/>
                <w:kern w:val="0"/>
                <w:sz w:val="20"/>
                <w:szCs w:val="20"/>
                <w:highlight w:val="none"/>
                <w:u w:val="none"/>
                <w:lang w:val="en-US" w:eastAsia="zh-CN" w:bidi="ar"/>
              </w:rPr>
              <w:t>所</w:t>
            </w:r>
          </w:p>
        </w:tc>
      </w:tr>
      <w:tr w14:paraId="16660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2EF50">
            <w:pPr>
              <w:keepNext w:val="0"/>
              <w:keepLines w:val="0"/>
              <w:widowControl/>
              <w:suppressLineNumbers w:val="0"/>
              <w:shd w:val="clear"/>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kern w:val="0"/>
                <w:sz w:val="20"/>
                <w:szCs w:val="20"/>
                <w:highlight w:val="none"/>
                <w:u w:val="none"/>
                <w:lang w:val="en-US" w:eastAsia="zh-CN" w:bidi="ar"/>
              </w:rPr>
              <w:t>10</w:t>
            </w:r>
          </w:p>
        </w:tc>
        <w:tc>
          <w:tcPr>
            <w:tcW w:w="4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A0169">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项目验收合格率</w:t>
            </w:r>
          </w:p>
        </w:tc>
        <w:tc>
          <w:tcPr>
            <w:tcW w:w="3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92CC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100%</w:t>
            </w:r>
          </w:p>
        </w:tc>
        <w:tc>
          <w:tcPr>
            <w:tcW w:w="3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F68B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r>
      <w:tr w14:paraId="535FC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2C77">
            <w:pPr>
              <w:keepNext w:val="0"/>
              <w:keepLines w:val="0"/>
              <w:widowControl/>
              <w:suppressLineNumbers w:val="0"/>
              <w:shd w:val="clear"/>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kern w:val="0"/>
                <w:sz w:val="20"/>
                <w:szCs w:val="20"/>
                <w:highlight w:val="none"/>
                <w:u w:val="none"/>
                <w:lang w:val="en-US" w:eastAsia="zh-CN" w:bidi="ar"/>
              </w:rPr>
              <w:t>11</w:t>
            </w:r>
          </w:p>
        </w:tc>
        <w:tc>
          <w:tcPr>
            <w:tcW w:w="4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8346A">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年度工作任务完成时间</w:t>
            </w:r>
          </w:p>
        </w:tc>
        <w:tc>
          <w:tcPr>
            <w:tcW w:w="3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8C786">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12月底</w:t>
            </w:r>
          </w:p>
        </w:tc>
        <w:tc>
          <w:tcPr>
            <w:tcW w:w="3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0AAB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12月底</w:t>
            </w:r>
          </w:p>
        </w:tc>
      </w:tr>
    </w:tbl>
    <w:p w14:paraId="7F01B481">
      <w:pPr>
        <w:overflowPunct w:val="0"/>
        <w:spacing w:line="560" w:lineRule="exact"/>
        <w:ind w:firstLine="640" w:firstLineChars="200"/>
        <w:outlineLvl w:val="1"/>
        <w:rPr>
          <w:rFonts w:hint="eastAsia" w:ascii="楷体_GB2312" w:eastAsia="楷体_GB2312"/>
          <w:sz w:val="32"/>
          <w:szCs w:val="32"/>
          <w:highlight w:val="none"/>
          <w:lang w:val="en-US" w:eastAsia="zh-CN"/>
        </w:rPr>
      </w:pPr>
      <w:r>
        <w:rPr>
          <w:rFonts w:hint="eastAsia" w:ascii="楷体_GB2312" w:eastAsia="楷体_GB2312"/>
          <w:sz w:val="32"/>
          <w:szCs w:val="32"/>
          <w:highlight w:val="none"/>
          <w:lang w:val="en-US" w:eastAsia="zh-CN"/>
        </w:rPr>
        <w:t>1.产出数量</w:t>
      </w:r>
    </w:p>
    <w:p w14:paraId="707EA8C6">
      <w:pPr>
        <w:pStyle w:val="6"/>
        <w:adjustRightInd w:val="0"/>
        <w:snapToGrid w:val="0"/>
        <w:spacing w:line="560" w:lineRule="exact"/>
        <w:ind w:left="0" w:leftChars="0"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2025年度各项产出数量指标全部完成。参加中小学阳光体育班级赛班级数达到9490</w:t>
      </w:r>
      <w:r>
        <w:rPr>
          <w:rFonts w:hint="eastAsia" w:ascii="仿宋_GB2312" w:hAnsi="仿宋_GB2312" w:eastAsia="仿宋_GB2312" w:cs="仿宋_GB2312"/>
          <w:sz w:val="32"/>
          <w:szCs w:val="32"/>
          <w:highlight w:val="none"/>
          <w:lang w:val="en-US" w:eastAsia="zh-CN"/>
        </w:rPr>
        <w:t>个</w:t>
      </w:r>
      <w:r>
        <w:rPr>
          <w:rFonts w:hint="eastAsia" w:ascii="仿宋_GB2312" w:hAnsi="仿宋_GB2312" w:eastAsia="仿宋_GB2312" w:cs="仿宋_GB2312"/>
          <w:sz w:val="32"/>
          <w:szCs w:val="32"/>
          <w:highlight w:val="none"/>
        </w:rPr>
        <w:t>，新增中小学学位数7910个</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新建改扩建项目完成9项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中小学食堂提升项目学校数量达到199所</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推进十五年一贯制特殊教育学校建设完成1所</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上放学高峰期巡查学校459所次</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寄宿部安全检查学校120所次</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建筑物和消防安全检查学校107所次</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开展党建督查36所。</w:t>
      </w:r>
    </w:p>
    <w:p w14:paraId="19B639A4">
      <w:pPr>
        <w:numPr>
          <w:ilvl w:val="0"/>
          <w:numId w:val="0"/>
        </w:numPr>
        <w:overflowPunct w:val="0"/>
        <w:spacing w:line="560" w:lineRule="exact"/>
        <w:ind w:firstLine="640" w:firstLineChars="200"/>
        <w:outlineLvl w:val="1"/>
        <w:rPr>
          <w:rFonts w:hint="eastAsia" w:ascii="楷体_GB2312" w:eastAsia="楷体_GB2312"/>
          <w:sz w:val="32"/>
          <w:szCs w:val="32"/>
          <w:highlight w:val="none"/>
          <w:lang w:val="en-US" w:eastAsia="zh-CN"/>
        </w:rPr>
      </w:pPr>
      <w:r>
        <w:rPr>
          <w:rFonts w:hint="eastAsia" w:ascii="楷体_GB2312" w:hAnsi="Times New Roman" w:eastAsia="楷体_GB2312" w:cs="Times New Roman"/>
          <w:kern w:val="2"/>
          <w:sz w:val="32"/>
          <w:szCs w:val="32"/>
          <w:highlight w:val="none"/>
          <w:lang w:val="en-US" w:eastAsia="zh-CN" w:bidi="ar-SA"/>
        </w:rPr>
        <w:t>2.</w:t>
      </w:r>
      <w:r>
        <w:rPr>
          <w:rFonts w:hint="eastAsia" w:ascii="楷体_GB2312" w:eastAsia="楷体_GB2312"/>
          <w:sz w:val="32"/>
          <w:szCs w:val="32"/>
          <w:highlight w:val="none"/>
          <w:lang w:val="en-US" w:eastAsia="zh-CN"/>
        </w:rPr>
        <w:t>产出质量</w:t>
      </w:r>
    </w:p>
    <w:p w14:paraId="06AB4826">
      <w:pPr>
        <w:pStyle w:val="6"/>
        <w:adjustRightInd w:val="0"/>
        <w:snapToGrid w:val="0"/>
        <w:spacing w:line="560" w:lineRule="exact"/>
        <w:ind w:left="0" w:leftChars="0"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验收合格率达到100%，各项建设工程和提升项目质量符合规定标准。中小学食堂提升项目覆盖199所学校，食堂设施条件和服务保障能力明显改善。新增中小学学位全部通过验收并投入使用，新建改扩建项目质量达标。特殊教育学校建设按标准完成，校园安全隐患整改到位，整体产出质量稳定可控。</w:t>
      </w:r>
    </w:p>
    <w:p w14:paraId="4F75B01D">
      <w:pPr>
        <w:numPr>
          <w:ilvl w:val="0"/>
          <w:numId w:val="0"/>
        </w:numPr>
        <w:overflowPunct w:val="0"/>
        <w:spacing w:line="560" w:lineRule="exact"/>
        <w:ind w:firstLine="640" w:firstLineChars="200"/>
        <w:outlineLvl w:val="1"/>
        <w:rPr>
          <w:rFonts w:hint="eastAsia" w:ascii="楷体_GB2312" w:eastAsia="楷体_GB2312"/>
          <w:sz w:val="32"/>
          <w:szCs w:val="32"/>
          <w:highlight w:val="none"/>
          <w:lang w:val="en-US" w:eastAsia="zh-CN"/>
        </w:rPr>
      </w:pPr>
      <w:r>
        <w:rPr>
          <w:rFonts w:hint="eastAsia" w:ascii="楷体_GB2312" w:hAnsi="Times New Roman" w:eastAsia="楷体_GB2312" w:cs="Times New Roman"/>
          <w:kern w:val="2"/>
          <w:sz w:val="32"/>
          <w:szCs w:val="32"/>
          <w:highlight w:val="none"/>
          <w:lang w:val="en-US" w:eastAsia="zh-CN" w:bidi="ar-SA"/>
        </w:rPr>
        <w:t>3.</w:t>
      </w:r>
      <w:r>
        <w:rPr>
          <w:rFonts w:hint="eastAsia" w:ascii="楷体_GB2312" w:eastAsia="楷体_GB2312"/>
          <w:sz w:val="32"/>
          <w:szCs w:val="32"/>
          <w:highlight w:val="none"/>
          <w:lang w:val="en-US" w:eastAsia="zh-CN"/>
        </w:rPr>
        <w:t>产出进度</w:t>
      </w:r>
    </w:p>
    <w:p w14:paraId="4CAB4810">
      <w:pPr>
        <w:pStyle w:val="6"/>
        <w:adjustRightInd w:val="0"/>
        <w:snapToGrid w:val="0"/>
        <w:spacing w:line="560" w:lineRule="exact"/>
        <w:ind w:left="0" w:leftChars="0"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度各项工作均于12月底前完成，符合计划时间要求。新建改扩建项目、学位扩增、食堂提升、特殊教育学校建设等工程类项目按节点推进，未出现延期情况。安全巡查、党建督查等常态性工作按年度计划有序开展，全年任务按时收官，产出进度与计划安排保持一致。</w:t>
      </w:r>
    </w:p>
    <w:p w14:paraId="2FB678D7">
      <w:pPr>
        <w:numPr>
          <w:ilvl w:val="0"/>
          <w:numId w:val="0"/>
        </w:numPr>
        <w:overflowPunct w:val="0"/>
        <w:spacing w:line="560" w:lineRule="exact"/>
        <w:ind w:firstLine="640" w:firstLineChars="200"/>
        <w:outlineLvl w:val="1"/>
        <w:rPr>
          <w:rFonts w:hint="eastAsia" w:ascii="楷体_GB2312" w:eastAsia="楷体_GB2312"/>
          <w:sz w:val="32"/>
          <w:szCs w:val="32"/>
          <w:highlight w:val="none"/>
          <w:lang w:val="en-US" w:eastAsia="zh-CN"/>
        </w:rPr>
      </w:pPr>
      <w:r>
        <w:rPr>
          <w:rFonts w:hint="eastAsia" w:ascii="楷体_GB2312" w:hAnsi="Times New Roman" w:eastAsia="楷体_GB2312" w:cs="Times New Roman"/>
          <w:kern w:val="2"/>
          <w:sz w:val="32"/>
          <w:szCs w:val="32"/>
          <w:highlight w:val="none"/>
          <w:lang w:val="en-US" w:eastAsia="zh-CN" w:bidi="ar-SA"/>
        </w:rPr>
        <w:t>4.</w:t>
      </w:r>
      <w:r>
        <w:rPr>
          <w:rFonts w:hint="eastAsia" w:ascii="楷体_GB2312" w:eastAsia="楷体_GB2312"/>
          <w:sz w:val="32"/>
          <w:szCs w:val="32"/>
          <w:highlight w:val="none"/>
          <w:lang w:val="en-US" w:eastAsia="zh-CN"/>
        </w:rPr>
        <w:t xml:space="preserve">产出成本 </w:t>
      </w:r>
    </w:p>
    <w:p w14:paraId="5D23CAC8">
      <w:pPr>
        <w:pStyle w:val="6"/>
        <w:adjustRightInd w:val="0"/>
        <w:snapToGrid w:val="0"/>
        <w:spacing w:line="560" w:lineRule="exact"/>
        <w:ind w:left="0" w:leftChars="0"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区教委严格执行预算管理制度，教育经费使用规范。通过推进教育系统基建工程招投标专项整治，基建项目管理更加规范，资金使用效益进一步提高。集团内各成员校、各学段资源统筹使用，促进优质教育资源集约配置，降低重复建设和低效投入。各项产出在预算范围内完成，成本控制总体有效，未发现超支或资金违规使用情况。</w:t>
      </w:r>
    </w:p>
    <w:p w14:paraId="0BBF9799">
      <w:pPr>
        <w:overflowPunct w:val="0"/>
        <w:spacing w:line="560" w:lineRule="exact"/>
        <w:ind w:firstLine="640" w:firstLineChars="200"/>
        <w:outlineLvl w:val="1"/>
        <w:rPr>
          <w:rFonts w:hint="eastAsia" w:ascii="楷体_GB2312" w:eastAsia="楷体_GB2312"/>
          <w:sz w:val="32"/>
          <w:szCs w:val="32"/>
          <w:highlight w:val="none"/>
        </w:rPr>
      </w:pPr>
      <w:r>
        <w:rPr>
          <w:rFonts w:hint="eastAsia" w:ascii="楷体_GB2312" w:eastAsia="楷体_GB2312"/>
          <w:sz w:val="32"/>
          <w:szCs w:val="32"/>
          <w:highlight w:val="none"/>
        </w:rPr>
        <w:t>（二）效果实现情况分析</w:t>
      </w:r>
    </w:p>
    <w:p w14:paraId="7FB3DF39">
      <w:pPr>
        <w:overflowPunct w:val="0"/>
        <w:spacing w:line="560" w:lineRule="exact"/>
        <w:ind w:firstLine="640" w:firstLineChars="200"/>
        <w:outlineLvl w:val="1"/>
        <w:rPr>
          <w:rFonts w:hint="eastAsia" w:ascii="楷体_GB2312" w:eastAsia="楷体_GB2312"/>
          <w:sz w:val="32"/>
          <w:szCs w:val="32"/>
          <w:highlight w:val="none"/>
          <w:lang w:val="en-US" w:eastAsia="zh-CN"/>
        </w:rPr>
      </w:pPr>
      <w:r>
        <w:rPr>
          <w:rFonts w:hint="eastAsia" w:ascii="楷体_GB2312" w:eastAsia="楷体_GB2312"/>
          <w:sz w:val="32"/>
          <w:szCs w:val="32"/>
          <w:highlight w:val="none"/>
          <w:lang w:val="en-US" w:eastAsia="zh-CN"/>
        </w:rPr>
        <w:t>1.经济效益</w:t>
      </w:r>
    </w:p>
    <w:p w14:paraId="14EFC4F4">
      <w:pPr>
        <w:overflowPunct w:val="0"/>
        <w:spacing w:line="560" w:lineRule="exact"/>
        <w:ind w:firstLine="640" w:firstLineChars="200"/>
        <w:outlineLvl w:val="1"/>
        <w:rPr>
          <w:rFonts w:hint="eastAsia" w:ascii="楷体_GB2312" w:eastAsia="楷体_GB2312"/>
          <w:sz w:val="32"/>
          <w:szCs w:val="32"/>
          <w:highlight w:val="none"/>
          <w:lang w:val="en-US" w:eastAsia="zh-CN"/>
        </w:rPr>
      </w:pPr>
      <w:r>
        <w:rPr>
          <w:rFonts w:hint="eastAsia" w:ascii="仿宋_GB2312" w:hAnsi="仿宋_GB2312" w:eastAsia="仿宋_GB2312" w:cs="仿宋_GB2312"/>
          <w:sz w:val="32"/>
          <w:szCs w:val="32"/>
          <w:highlight w:val="none"/>
        </w:rPr>
        <w:t>教育资源使用效率进一步提升。完成新建改扩建项目9项，新增中小学学位7910个，优质学位供给持续扩大；中小学食堂提升项目学校数量达到199所，学校供餐保障能力显著增强。推进教育系统基建工程招投标专项整治，规范项目管理，减少资金浪费，提高教育经费使用效益。推进集团内成员校和各学段资源统筹使用，探索结构性解决体系问题，促进优质教育资源集约高效配置。</w:t>
      </w:r>
    </w:p>
    <w:p w14:paraId="473AA8DC">
      <w:pPr>
        <w:numPr>
          <w:ilvl w:val="0"/>
          <w:numId w:val="0"/>
        </w:numPr>
        <w:overflowPunct w:val="0"/>
        <w:spacing w:line="560" w:lineRule="exact"/>
        <w:ind w:firstLine="640" w:firstLineChars="200"/>
        <w:outlineLvl w:val="1"/>
        <w:rPr>
          <w:rFonts w:hint="eastAsia" w:ascii="楷体_GB2312" w:eastAsia="楷体_GB2312"/>
          <w:sz w:val="32"/>
          <w:szCs w:val="32"/>
          <w:highlight w:val="none"/>
          <w:lang w:val="en-US" w:eastAsia="zh-CN"/>
        </w:rPr>
      </w:pPr>
      <w:r>
        <w:rPr>
          <w:rFonts w:hint="eastAsia" w:ascii="楷体_GB2312" w:hAnsi="Times New Roman" w:eastAsia="楷体_GB2312" w:cs="Times New Roman"/>
          <w:kern w:val="2"/>
          <w:sz w:val="32"/>
          <w:szCs w:val="32"/>
          <w:highlight w:val="none"/>
          <w:lang w:val="en-US" w:eastAsia="zh-CN" w:bidi="ar-SA"/>
        </w:rPr>
        <w:t>2.</w:t>
      </w:r>
      <w:r>
        <w:rPr>
          <w:rFonts w:hint="eastAsia" w:ascii="楷体_GB2312" w:eastAsia="楷体_GB2312"/>
          <w:sz w:val="32"/>
          <w:szCs w:val="32"/>
          <w:highlight w:val="none"/>
          <w:lang w:val="en-US" w:eastAsia="zh-CN"/>
        </w:rPr>
        <w:t>社会效益</w:t>
      </w:r>
    </w:p>
    <w:p w14:paraId="6C3D0DAB">
      <w:pPr>
        <w:pStyle w:val="6"/>
        <w:adjustRightInd w:val="0"/>
        <w:snapToGrid w:val="0"/>
        <w:spacing w:line="560" w:lineRule="exact"/>
        <w:ind w:left="0" w:leftChars="0"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教育公共服务水平和社会影响力持续提升。完成布局优化任务11项，教育布局与人口变化协调性增强，基本公共教育服务供给更加均衡。普惠性幼儿园覆盖率达到94%，超过91%的目标值，“幼有所育”水平明显提高。开展“开学第一餐”直播活动，试点学生餐菜品研发，校园食品安全和膳食质量社会认可度提高。与公安、交通、交管和属地街镇形成共建共治合力，上放学高峰期巡查学校459所次，校园周边常态化治理成效明显。举办心理健康教育活动月，成立“心理健康教育协作联合体”，提供科普讲座、家庭指导、团体辅导、现场咨询等服务，家校社协同育人机制更加健全。发布《海淀区校外资源库手册》，丰富校外教育课程资源，五育并举育人载体更加多元。扩大国际教育合作伙伴和友好校范围，推动青少年互访交流，区域教育对外开放水平进一步提升。</w:t>
      </w:r>
    </w:p>
    <w:p w14:paraId="6CB5FF30">
      <w:pPr>
        <w:numPr>
          <w:ilvl w:val="0"/>
          <w:numId w:val="0"/>
        </w:numPr>
        <w:overflowPunct w:val="0"/>
        <w:spacing w:line="560" w:lineRule="exact"/>
        <w:ind w:firstLine="640" w:firstLineChars="200"/>
        <w:outlineLvl w:val="1"/>
        <w:rPr>
          <w:rFonts w:hint="eastAsia" w:ascii="楷体_GB2312" w:eastAsia="楷体_GB2312"/>
          <w:sz w:val="32"/>
          <w:szCs w:val="32"/>
          <w:highlight w:val="none"/>
          <w:lang w:val="en-US" w:eastAsia="zh-CN"/>
        </w:rPr>
      </w:pPr>
      <w:r>
        <w:rPr>
          <w:rFonts w:hint="eastAsia" w:ascii="楷体_GB2312" w:hAnsi="Times New Roman" w:eastAsia="楷体_GB2312" w:cs="Times New Roman"/>
          <w:kern w:val="2"/>
          <w:sz w:val="32"/>
          <w:szCs w:val="32"/>
          <w:highlight w:val="none"/>
          <w:lang w:val="en-US" w:eastAsia="zh-CN" w:bidi="ar-SA"/>
        </w:rPr>
        <w:t>3.</w:t>
      </w:r>
      <w:r>
        <w:rPr>
          <w:rFonts w:hint="eastAsia" w:ascii="楷体_GB2312" w:eastAsia="楷体_GB2312"/>
          <w:sz w:val="32"/>
          <w:szCs w:val="32"/>
          <w:highlight w:val="none"/>
          <w:lang w:val="en-US" w:eastAsia="zh-CN"/>
        </w:rPr>
        <w:t>环境效益</w:t>
      </w:r>
    </w:p>
    <w:p w14:paraId="7BCD6CD5">
      <w:pPr>
        <w:pStyle w:val="6"/>
        <w:adjustRightInd w:val="0"/>
        <w:snapToGrid w:val="0"/>
        <w:spacing w:line="560" w:lineRule="exact"/>
        <w:ind w:left="0" w:leftChars="0"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校园安全环境和育人环境持续改善。持续开展“四不两直”安全检查，全年发布《校园安全工作周通报》38期，隐患排查整治机制更加健全。寄宿部安全检查学校120所次、建筑物和消防安全检查学校107所次，均超额完成目标，校园安全防护水平整体提升。巩固校园食品安全和膳食经费专项整治成果，中小学食堂提升项目扩面实施，学校就餐环境和卫生保障条件进一步优化。推进校园周边常态化治理，与公安、交通、交管和属地街镇协同开展交通、治安、环境综合治理，校园周边环境秩序有效改善。</w:t>
      </w:r>
    </w:p>
    <w:p w14:paraId="67FA4D41">
      <w:pPr>
        <w:numPr>
          <w:ilvl w:val="0"/>
          <w:numId w:val="0"/>
        </w:numPr>
        <w:overflowPunct w:val="0"/>
        <w:spacing w:line="560" w:lineRule="exact"/>
        <w:ind w:firstLine="640" w:firstLineChars="200"/>
        <w:outlineLvl w:val="1"/>
        <w:rPr>
          <w:rFonts w:hint="eastAsia" w:ascii="楷体_GB2312" w:eastAsia="楷体_GB2312"/>
          <w:sz w:val="32"/>
          <w:szCs w:val="32"/>
          <w:highlight w:val="none"/>
          <w:lang w:val="en-US" w:eastAsia="zh-CN"/>
        </w:rPr>
      </w:pPr>
      <w:r>
        <w:rPr>
          <w:rFonts w:hint="eastAsia" w:ascii="楷体_GB2312" w:hAnsi="Times New Roman" w:eastAsia="楷体_GB2312" w:cs="Times New Roman"/>
          <w:kern w:val="2"/>
          <w:sz w:val="32"/>
          <w:szCs w:val="32"/>
          <w:highlight w:val="none"/>
          <w:lang w:val="en-US" w:eastAsia="zh-CN" w:bidi="ar-SA"/>
        </w:rPr>
        <w:t>4.</w:t>
      </w:r>
      <w:r>
        <w:rPr>
          <w:rFonts w:hint="eastAsia" w:ascii="楷体_GB2312" w:eastAsia="楷体_GB2312"/>
          <w:sz w:val="32"/>
          <w:szCs w:val="32"/>
          <w:highlight w:val="none"/>
          <w:lang w:val="en-US" w:eastAsia="zh-CN"/>
        </w:rPr>
        <w:t>可持续性影响</w:t>
      </w:r>
    </w:p>
    <w:p w14:paraId="29B6CB52">
      <w:pPr>
        <w:pStyle w:val="6"/>
        <w:adjustRightInd w:val="0"/>
        <w:snapToGrid w:val="0"/>
        <w:spacing w:line="560" w:lineRule="exact"/>
        <w:ind w:left="0" w:leftChars="0"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教育治理体系和治理能力持续增强，为长远发展奠定制度基础。推进中小学书记、校长分设，优化学校议事决策制度，党组织领导的学校治理机制更加定型。开展党建督查36所，举办党组织书记示范培训班，专职书记履职能力持续提升，基层党建制度化、规范化水平不断</w:t>
      </w:r>
      <w:r>
        <w:rPr>
          <w:rFonts w:hint="eastAsia" w:ascii="仿宋_GB2312" w:hAnsi="仿宋_GB2312" w:eastAsia="仿宋_GB2312" w:cs="仿宋_GB2312"/>
          <w:sz w:val="32"/>
          <w:szCs w:val="32"/>
          <w:highlight w:val="none"/>
          <w:lang w:val="en-US" w:eastAsia="zh-CN"/>
        </w:rPr>
        <w:t>提升</w:t>
      </w:r>
      <w:r>
        <w:rPr>
          <w:rFonts w:hint="eastAsia" w:ascii="仿宋_GB2312" w:hAnsi="仿宋_GB2312" w:eastAsia="仿宋_GB2312" w:cs="仿宋_GB2312"/>
          <w:sz w:val="32"/>
          <w:szCs w:val="32"/>
          <w:highlight w:val="none"/>
        </w:rPr>
        <w:t>。落实全市免费学前教育实施方案，制定区级管理办法，学前教育政策体系更加完善。持续推进“双普”达标创建工作，核心指标全部达成，学前教育普及普惠发展基础更加稳固。继续实施“成长中的教育家”工程，召开名师教育教学实践研讨会，系统总结教师队伍建设和名师成长路径，干部教师队伍可持续发展能力增强。构建区统园招、就近就便、应招尽招、质量为先的学前教育发展新格局，形成可长期运行的招生和质量管理机制。推进十五年一贯制特殊教育学校建设，完成1所建设任务，特殊教育保障体系更加健全，教育公平和包容性持续增强。</w:t>
      </w:r>
    </w:p>
    <w:p w14:paraId="5E6B130B">
      <w:pPr>
        <w:numPr>
          <w:ilvl w:val="0"/>
          <w:numId w:val="0"/>
        </w:numPr>
        <w:overflowPunct w:val="0"/>
        <w:spacing w:line="560" w:lineRule="exact"/>
        <w:ind w:firstLine="640" w:firstLineChars="200"/>
        <w:outlineLvl w:val="1"/>
        <w:rPr>
          <w:rFonts w:hint="eastAsia" w:ascii="楷体_GB2312" w:eastAsia="楷体_GB2312"/>
          <w:sz w:val="32"/>
          <w:szCs w:val="32"/>
          <w:highlight w:val="none"/>
          <w:lang w:val="en-US" w:eastAsia="zh-CN"/>
        </w:rPr>
      </w:pPr>
      <w:r>
        <w:rPr>
          <w:rFonts w:hint="eastAsia" w:ascii="楷体_GB2312" w:hAnsi="Times New Roman" w:eastAsia="楷体_GB2312" w:cs="Times New Roman"/>
          <w:kern w:val="2"/>
          <w:sz w:val="32"/>
          <w:szCs w:val="32"/>
          <w:highlight w:val="none"/>
          <w:lang w:val="en-US" w:eastAsia="zh-CN" w:bidi="ar-SA"/>
        </w:rPr>
        <w:t>5.</w:t>
      </w:r>
      <w:r>
        <w:rPr>
          <w:rFonts w:hint="eastAsia" w:ascii="楷体_GB2312" w:eastAsia="楷体_GB2312"/>
          <w:sz w:val="32"/>
          <w:szCs w:val="32"/>
          <w:highlight w:val="none"/>
          <w:lang w:val="en-US" w:eastAsia="zh-CN"/>
        </w:rPr>
        <w:t>服务对象满意度</w:t>
      </w:r>
    </w:p>
    <w:p w14:paraId="3A1885E5">
      <w:pPr>
        <w:pStyle w:val="6"/>
        <w:adjustRightInd w:val="0"/>
        <w:snapToGrid w:val="0"/>
        <w:spacing w:line="560" w:lineRule="exact"/>
        <w:ind w:left="0" w:leftChars="0"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学生、家长和社会对教育服务的获得感和满意度进一步提升。开展“开学第一餐”直播活动，主动回应家长和社会对校园餐质量的关切，学生及家长对校园供餐的信任感增强。提供全方位心理健康服务，覆盖科普、家庭指导、团体辅导和现场咨询，学生和家长对心理健康支持的可及性和获得感提高。持续扩增优质中小学学位供给，新增学位7910个，有效缓解学位紧张问题，群众对“有学上”“上好学”的满意度提升。普惠性幼儿园覆盖率达到94%，适龄幼儿就近入园、普惠入园需求得到更好保障，家庭学前教育负担进一步减轻。推进校园周边常态化治理，上放学高峰时段巡查和治安交通秩序改善，家长、师生对校园周边安全环境的满意度提升。中小学食堂提升项目覆盖199所，师生就餐环境和餐食质量改善，在校就餐满意度进一步提高。丰富校外教育课程资源，扩大国际交流和友好校互访范围，学生和家长对优质多元教育服务的认可度提高。</w:t>
      </w:r>
    </w:p>
    <w:p w14:paraId="54B2ED0B">
      <w:pPr>
        <w:overflowPunct w:val="0"/>
        <w:spacing w:line="560" w:lineRule="exact"/>
        <w:ind w:firstLine="640" w:firstLineChars="200"/>
        <w:outlineLvl w:val="0"/>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四、预算管理情况分析</w:t>
      </w:r>
    </w:p>
    <w:p w14:paraId="4E8DD015">
      <w:pPr>
        <w:overflowPunct w:val="0"/>
        <w:spacing w:line="560" w:lineRule="exact"/>
        <w:ind w:firstLine="640" w:firstLineChars="200"/>
        <w:outlineLvl w:val="1"/>
        <w:rPr>
          <w:rFonts w:ascii="楷体_GB2312" w:eastAsia="楷体_GB2312"/>
          <w:sz w:val="32"/>
          <w:szCs w:val="32"/>
          <w:highlight w:val="none"/>
        </w:rPr>
      </w:pPr>
      <w:r>
        <w:rPr>
          <w:rFonts w:hint="eastAsia" w:ascii="楷体_GB2312" w:eastAsia="楷体_GB2312"/>
          <w:sz w:val="32"/>
          <w:szCs w:val="32"/>
          <w:highlight w:val="none"/>
        </w:rPr>
        <w:t>（一）财务管理</w:t>
      </w:r>
    </w:p>
    <w:p w14:paraId="05F0EEEC">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1.财务管理制度健全性</w:t>
      </w:r>
    </w:p>
    <w:p w14:paraId="4198B112">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仿宋_GB2312" w:eastAsia="仿宋_GB2312" w:cs="仿宋_GB2312"/>
          <w:sz w:val="32"/>
          <w:szCs w:val="32"/>
          <w:highlight w:val="none"/>
          <w:lang w:val="en-US" w:eastAsia="zh-CN"/>
        </w:rPr>
        <w:t>区教委制定了《海淀区教育委员会教育专项资金管理办法（试行）》管理制度，部门财务管理制度内容较为健全，为部门的资金使用和管理提供了有效制度保障。为规范中小学食堂经营行为，保障学生切身利益，2025年我委制定并印发了 《海淀区中小学食堂财务管理实施细则》。区教委系统所属单位财务管理制度体系建立较为健全，各单位均建立了预算管理、收支管理、资产管理、合同管理等相关制度，制度建立实现全覆盖。同时，为进一步完善财务管理制度，2025年度，部门各单位均已开展内部控制评价工作，其中194家单位评价结果为优。</w:t>
      </w:r>
    </w:p>
    <w:p w14:paraId="57FCD1DD">
      <w:pPr>
        <w:numPr>
          <w:ilvl w:val="0"/>
          <w:numId w:val="0"/>
        </w:num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bidi="ar-SA"/>
        </w:rPr>
        <w:t>2.</w:t>
      </w:r>
      <w:r>
        <w:rPr>
          <w:rFonts w:hint="eastAsia" w:ascii="仿宋_GB2312" w:hAnsi="宋体" w:eastAsia="仿宋_GB2312" w:cs="宋体"/>
          <w:color w:val="000000"/>
          <w:kern w:val="0"/>
          <w:sz w:val="32"/>
          <w:szCs w:val="32"/>
          <w:highlight w:val="none"/>
        </w:rPr>
        <w:t>资金使用合规性和安全性</w:t>
      </w:r>
    </w:p>
    <w:p w14:paraId="0701B5D5">
      <w:pPr>
        <w:pStyle w:val="6"/>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ascii="仿宋_GB2312" w:hAnsi="宋体" w:eastAsia="仿宋_GB2312" w:cs="宋体"/>
          <w:color w:val="000000"/>
          <w:kern w:val="0"/>
          <w:sz w:val="32"/>
          <w:szCs w:val="32"/>
          <w:highlight w:val="none"/>
        </w:rPr>
      </w:pPr>
      <w:r>
        <w:rPr>
          <w:rFonts w:hint="eastAsia" w:ascii="仿宋_GB2312" w:hAnsi="仿宋_GB2312" w:eastAsia="仿宋_GB2312" w:cs="仿宋_GB2312"/>
          <w:sz w:val="32"/>
          <w:szCs w:val="32"/>
          <w:highlight w:val="none"/>
          <w:lang w:val="en-US" w:eastAsia="zh-CN"/>
        </w:rPr>
        <w:t>区教委所属各单位按照预算批复的金额和用途使用资金，并遵照相关的财务管理制度和办法执行。在资金使用监管上，能够有效落实重大支出集体研究制度，年度资金分配履行了相关报批手续，专项资金使用建立了专户核算、统一管理制度，未发现截留、挤占、挪用、虚列支出等情况。</w:t>
      </w:r>
    </w:p>
    <w:p w14:paraId="603D3EDD">
      <w:pPr>
        <w:numPr>
          <w:ilvl w:val="0"/>
          <w:numId w:val="0"/>
        </w:num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bidi="ar-SA"/>
        </w:rPr>
        <w:t>3.</w:t>
      </w:r>
      <w:r>
        <w:rPr>
          <w:rFonts w:hint="eastAsia" w:ascii="仿宋_GB2312" w:hAnsi="宋体" w:eastAsia="仿宋_GB2312" w:cs="宋体"/>
          <w:color w:val="000000"/>
          <w:kern w:val="0"/>
          <w:sz w:val="32"/>
          <w:szCs w:val="32"/>
          <w:highlight w:val="none"/>
        </w:rPr>
        <w:t>会计基础信息完善性</w:t>
      </w:r>
    </w:p>
    <w:p w14:paraId="1CF06F13">
      <w:pPr>
        <w:pStyle w:val="6"/>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区教委部门会计核算严格按照《政府会计制度—行政事业单位会计科目和报表》要求执行，能够准确反映资金预算收入支出情况，会计基础信息完善。</w:t>
      </w:r>
    </w:p>
    <w:p w14:paraId="051BE73E">
      <w:pPr>
        <w:numPr>
          <w:ilvl w:val="0"/>
          <w:numId w:val="0"/>
        </w:numPr>
        <w:overflowPunct w:val="0"/>
        <w:spacing w:line="560" w:lineRule="exact"/>
        <w:ind w:firstLine="640" w:firstLineChars="200"/>
        <w:outlineLvl w:val="1"/>
        <w:rPr>
          <w:rFonts w:hint="eastAsia" w:ascii="楷体_GB2312" w:eastAsia="楷体_GB2312"/>
          <w:sz w:val="32"/>
          <w:szCs w:val="32"/>
          <w:highlight w:val="none"/>
        </w:rPr>
      </w:pPr>
      <w:r>
        <w:rPr>
          <w:rFonts w:hint="eastAsia" w:ascii="楷体_GB2312" w:hAnsi="Times New Roman" w:eastAsia="楷体_GB2312" w:cs="Times New Roman"/>
          <w:kern w:val="2"/>
          <w:sz w:val="32"/>
          <w:szCs w:val="32"/>
          <w:highlight w:val="none"/>
          <w:lang w:val="en-US" w:eastAsia="zh-CN" w:bidi="ar-SA"/>
        </w:rPr>
        <w:t>（二）</w:t>
      </w:r>
      <w:r>
        <w:rPr>
          <w:rFonts w:hint="eastAsia" w:ascii="楷体_GB2312" w:eastAsia="楷体_GB2312"/>
          <w:sz w:val="32"/>
          <w:szCs w:val="32"/>
          <w:highlight w:val="none"/>
        </w:rPr>
        <w:t>资产管理</w:t>
      </w:r>
    </w:p>
    <w:p w14:paraId="73FA3BB7">
      <w:pPr>
        <w:pStyle w:val="6"/>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default" w:ascii="楷体_GB2312" w:eastAsia="楷体_GB2312"/>
          <w:sz w:val="32"/>
          <w:szCs w:val="32"/>
          <w:highlight w:val="none"/>
          <w:lang w:val="en-US"/>
        </w:rPr>
      </w:pPr>
      <w:r>
        <w:rPr>
          <w:rFonts w:hint="eastAsia" w:ascii="仿宋_GB2312" w:hAnsi="仿宋_GB2312" w:eastAsia="仿宋_GB2312" w:cs="仿宋_GB2312"/>
          <w:sz w:val="32"/>
          <w:szCs w:val="32"/>
          <w:highlight w:val="none"/>
          <w:lang w:val="en-US" w:eastAsia="zh-CN"/>
        </w:rPr>
        <w:t>区教委所属各单位不断加强资产的有效管理，及时维护和更新固定资产实物管理信息；区教委层面不断加大统筹调配使用力度，提高资源使用效益。</w:t>
      </w:r>
    </w:p>
    <w:p w14:paraId="4BF222AA">
      <w:pPr>
        <w:numPr>
          <w:ilvl w:val="0"/>
          <w:numId w:val="0"/>
        </w:numPr>
        <w:overflowPunct w:val="0"/>
        <w:spacing w:line="560" w:lineRule="exact"/>
        <w:ind w:firstLine="640" w:firstLineChars="200"/>
        <w:outlineLvl w:val="1"/>
        <w:rPr>
          <w:rFonts w:hint="eastAsia" w:ascii="楷体_GB2312" w:eastAsia="楷体_GB2312"/>
          <w:sz w:val="32"/>
          <w:szCs w:val="32"/>
          <w:highlight w:val="none"/>
        </w:rPr>
      </w:pPr>
      <w:r>
        <w:rPr>
          <w:rFonts w:hint="eastAsia" w:ascii="楷体_GB2312" w:hAnsi="Times New Roman" w:eastAsia="楷体_GB2312" w:cs="Times New Roman"/>
          <w:kern w:val="2"/>
          <w:sz w:val="32"/>
          <w:szCs w:val="32"/>
          <w:highlight w:val="none"/>
          <w:lang w:val="en-US" w:eastAsia="zh-CN" w:bidi="ar-SA"/>
        </w:rPr>
        <w:t>（三）</w:t>
      </w:r>
      <w:r>
        <w:rPr>
          <w:rFonts w:hint="eastAsia" w:ascii="楷体_GB2312" w:eastAsia="楷体_GB2312"/>
          <w:sz w:val="32"/>
          <w:szCs w:val="32"/>
          <w:highlight w:val="none"/>
        </w:rPr>
        <w:t>绩效管理</w:t>
      </w:r>
    </w:p>
    <w:p w14:paraId="6B40ADA9">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sz w:val="32"/>
          <w:szCs w:val="22"/>
          <w:highlight w:val="none"/>
          <w:lang w:val="en-US" w:eastAsia="zh-CN"/>
        </w:rPr>
      </w:pPr>
      <w:bookmarkStart w:id="0" w:name="_Toc772093993"/>
      <w:r>
        <w:rPr>
          <w:rFonts w:hint="eastAsia" w:ascii="仿宋_GB2312" w:hAnsi="仿宋_GB2312" w:eastAsia="仿宋_GB2312" w:cs="仿宋_GB2312"/>
          <w:sz w:val="32"/>
          <w:szCs w:val="22"/>
          <w:highlight w:val="none"/>
          <w:lang w:val="en-US" w:eastAsia="zh-CN"/>
        </w:rPr>
        <w:t>1.健全预算绩效管理体系</w:t>
      </w:r>
      <w:bookmarkEnd w:id="0"/>
    </w:p>
    <w:p w14:paraId="194417DE">
      <w:pPr>
        <w:pStyle w:val="6"/>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区教委建立了“预算编制有目标、预算执行有监控、预算完成有评价、评价结果有反馈、反馈结果有应用”的全过程预算绩效管理机制。所属各单位根据年度工作计划和部门职责完成项目申报、组织实施等工作，预算绩效管理工作开展有效。</w:t>
      </w:r>
    </w:p>
    <w:p w14:paraId="6562CE96">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sz w:val="32"/>
          <w:szCs w:val="22"/>
          <w:highlight w:val="none"/>
          <w:lang w:val="en-US" w:eastAsia="zh-CN"/>
        </w:rPr>
      </w:pPr>
      <w:bookmarkStart w:id="1" w:name="_Toc1487545177"/>
      <w:r>
        <w:rPr>
          <w:rFonts w:hint="eastAsia" w:ascii="仿宋_GB2312" w:hAnsi="仿宋_GB2312" w:eastAsia="仿宋_GB2312" w:cs="仿宋_GB2312"/>
          <w:sz w:val="32"/>
          <w:szCs w:val="22"/>
          <w:highlight w:val="none"/>
          <w:lang w:val="en-US" w:eastAsia="zh-CN"/>
        </w:rPr>
        <w:t>2.深化全过程预算绩效管理</w:t>
      </w:r>
      <w:bookmarkEnd w:id="1"/>
    </w:p>
    <w:p w14:paraId="2A0CE5FA">
      <w:pPr>
        <w:pStyle w:val="6"/>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一是抓好绩效目标编制，项目负责人随同项目申报报送绩效目标，区教委随同项目审核完成对部门所有项目绩效目标的审核工作。</w:t>
      </w:r>
    </w:p>
    <w:p w14:paraId="1B2CD8FF">
      <w:pPr>
        <w:pStyle w:val="6"/>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二是建立全过程预算绩效管理链条，注重优化项目事前论证，加强绩效目标管理，开展事前论证，论证结果作为申请预算的必备要件。</w:t>
      </w:r>
    </w:p>
    <w:p w14:paraId="18542FAD">
      <w:pPr>
        <w:pStyle w:val="6"/>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ascii="楷体_GB2312" w:eastAsia="楷体_GB2312"/>
          <w:sz w:val="32"/>
          <w:szCs w:val="32"/>
          <w:highlight w:val="none"/>
        </w:rPr>
      </w:pPr>
      <w:r>
        <w:rPr>
          <w:rFonts w:hint="eastAsia" w:ascii="仿宋_GB2312" w:hAnsi="仿宋_GB2312" w:eastAsia="仿宋_GB2312" w:cs="仿宋_GB2312"/>
          <w:sz w:val="32"/>
          <w:szCs w:val="32"/>
          <w:highlight w:val="none"/>
          <w:lang w:val="en-US" w:eastAsia="zh-CN"/>
        </w:rPr>
        <w:t>三是深入开展绩效跟踪及绩效自评。2025年中，区教委对项目进行绩效跟踪，各项目据实填报项目目标及预算完成情况。2025年度预算执行结束后，区教委按照区财政局要求组织预算绩效评价工作，各单位根据项目执行情况填报绩效目标自评表并配合开展绩效评价工作。</w:t>
      </w:r>
    </w:p>
    <w:p w14:paraId="3DA70014">
      <w:pPr>
        <w:numPr>
          <w:ilvl w:val="0"/>
          <w:numId w:val="0"/>
        </w:numPr>
        <w:overflowPunct w:val="0"/>
        <w:spacing w:line="560" w:lineRule="exact"/>
        <w:ind w:firstLine="640" w:firstLineChars="200"/>
        <w:outlineLvl w:val="1"/>
        <w:rPr>
          <w:rFonts w:hint="eastAsia" w:ascii="楷体_GB2312" w:eastAsia="楷体_GB2312"/>
          <w:sz w:val="32"/>
          <w:szCs w:val="32"/>
          <w:highlight w:val="none"/>
        </w:rPr>
      </w:pPr>
      <w:r>
        <w:rPr>
          <w:rFonts w:hint="eastAsia" w:ascii="楷体_GB2312" w:hAnsi="Times New Roman" w:eastAsia="楷体_GB2312" w:cs="Times New Roman"/>
          <w:kern w:val="2"/>
          <w:sz w:val="32"/>
          <w:szCs w:val="32"/>
          <w:highlight w:val="none"/>
          <w:lang w:val="en-US" w:eastAsia="zh-CN" w:bidi="ar-SA"/>
        </w:rPr>
        <w:t>（四）</w:t>
      </w:r>
      <w:r>
        <w:rPr>
          <w:rFonts w:hint="eastAsia" w:ascii="楷体_GB2312" w:eastAsia="楷体_GB2312"/>
          <w:sz w:val="32"/>
          <w:szCs w:val="32"/>
          <w:highlight w:val="none"/>
        </w:rPr>
        <w:t>结转结余率</w:t>
      </w:r>
    </w:p>
    <w:p w14:paraId="41C14DBF">
      <w:pPr>
        <w:numPr>
          <w:ilvl w:val="0"/>
          <w:numId w:val="0"/>
        </w:numPr>
        <w:overflowPunct w:val="0"/>
        <w:spacing w:line="560" w:lineRule="exact"/>
        <w:ind w:firstLine="640" w:firstLineChars="200"/>
        <w:outlineLvl w:val="1"/>
        <w:rPr>
          <w:rFonts w:hint="eastAsia" w:ascii="楷体_GB2312" w:eastAsia="楷体_GB2312"/>
          <w:sz w:val="32"/>
          <w:szCs w:val="32"/>
          <w:highlight w:val="none"/>
        </w:rPr>
      </w:pPr>
      <w:r>
        <w:rPr>
          <w:rFonts w:hint="eastAsia" w:ascii="仿宋_GB2312" w:hAnsi="仿宋_GB2312" w:eastAsia="仿宋_GB2312" w:cs="仿宋_GB2312"/>
          <w:sz w:val="32"/>
          <w:szCs w:val="32"/>
          <w:highlight w:val="none"/>
          <w:lang w:val="en-US" w:eastAsia="zh-CN"/>
        </w:rPr>
        <w:t>2025年区教委全年支出预算1,880,374.90万元，年末结转结余资金为99,561.90万元，资金结转结余率5.03%。</w:t>
      </w:r>
    </w:p>
    <w:p w14:paraId="7FF5B8A4">
      <w:pPr>
        <w:numPr>
          <w:ilvl w:val="0"/>
          <w:numId w:val="0"/>
        </w:numPr>
        <w:overflowPunct w:val="0"/>
        <w:spacing w:line="560" w:lineRule="exact"/>
        <w:ind w:firstLine="640" w:firstLineChars="200"/>
        <w:outlineLvl w:val="1"/>
        <w:rPr>
          <w:rFonts w:hint="eastAsia" w:ascii="楷体_GB2312" w:eastAsia="楷体_GB2312"/>
          <w:sz w:val="32"/>
          <w:szCs w:val="32"/>
          <w:highlight w:val="none"/>
        </w:rPr>
      </w:pPr>
      <w:r>
        <w:rPr>
          <w:rFonts w:hint="eastAsia" w:ascii="楷体_GB2312" w:hAnsi="Times New Roman" w:eastAsia="楷体_GB2312" w:cs="Times New Roman"/>
          <w:kern w:val="2"/>
          <w:sz w:val="32"/>
          <w:szCs w:val="32"/>
          <w:highlight w:val="none"/>
          <w:lang w:val="en-US" w:eastAsia="zh-CN" w:bidi="ar-SA"/>
        </w:rPr>
        <w:t>（五）</w:t>
      </w:r>
      <w:r>
        <w:rPr>
          <w:rFonts w:hint="eastAsia" w:ascii="楷体_GB2312" w:eastAsia="楷体_GB2312"/>
          <w:sz w:val="32"/>
          <w:szCs w:val="32"/>
          <w:highlight w:val="none"/>
        </w:rPr>
        <w:t>部门预决算差异率</w:t>
      </w:r>
    </w:p>
    <w:p w14:paraId="68E61DEB">
      <w:pPr>
        <w:numPr>
          <w:ilvl w:val="0"/>
          <w:numId w:val="0"/>
        </w:numPr>
        <w:overflowPunct w:val="0"/>
        <w:spacing w:line="560" w:lineRule="exact"/>
        <w:ind w:firstLine="640" w:firstLineChars="200"/>
        <w:outlineLvl w:val="1"/>
        <w:rPr>
          <w:rFonts w:hint="eastAsia" w:ascii="楷体_GB2312" w:eastAsia="楷体_GB2312"/>
          <w:sz w:val="32"/>
          <w:szCs w:val="32"/>
          <w:highlight w:val="none"/>
        </w:rPr>
      </w:pPr>
      <w:r>
        <w:rPr>
          <w:rFonts w:hint="eastAsia" w:ascii="仿宋_GB2312" w:hAnsi="仿宋_GB2312" w:eastAsia="仿宋_GB2312" w:cs="仿宋_GB2312"/>
          <w:sz w:val="32"/>
          <w:szCs w:val="32"/>
          <w:highlight w:val="none"/>
          <w:lang w:val="en-US" w:eastAsia="zh-CN"/>
        </w:rPr>
        <w:t>2025年区教委年初预算数为1,669,847.38万元，年度决算数为1,880,374.90万元，资金预决算差异率为12</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6%，预决算差异率低于30%平均水平，部门预决算差异率控制情况较好。</w:t>
      </w:r>
    </w:p>
    <w:p w14:paraId="35021CBD">
      <w:pPr>
        <w:overflowPunct w:val="0"/>
        <w:spacing w:line="560" w:lineRule="exact"/>
        <w:ind w:firstLine="640" w:firstLineChars="200"/>
        <w:outlineLvl w:val="0"/>
        <w:rPr>
          <w:rFonts w:ascii="黑体" w:hAnsi="黑体" w:eastAsia="黑体"/>
          <w:sz w:val="32"/>
          <w:szCs w:val="32"/>
          <w:highlight w:val="none"/>
        </w:rPr>
      </w:pPr>
      <w:r>
        <w:rPr>
          <w:rFonts w:hint="eastAsia" w:ascii="黑体" w:hAnsi="黑体" w:eastAsia="黑体"/>
          <w:sz w:val="32"/>
          <w:szCs w:val="32"/>
          <w:highlight w:val="none"/>
        </w:rPr>
        <w:t>五、总体自评结论</w:t>
      </w:r>
    </w:p>
    <w:p w14:paraId="6B9AB16A">
      <w:pPr>
        <w:overflowPunct w:val="0"/>
        <w:spacing w:line="560" w:lineRule="exact"/>
        <w:ind w:firstLine="640" w:firstLineChars="200"/>
        <w:rPr>
          <w:rFonts w:hint="eastAsia" w:ascii="楷体_GB2312" w:eastAsia="楷体_GB2312"/>
          <w:sz w:val="32"/>
          <w:szCs w:val="32"/>
          <w:highlight w:val="none"/>
        </w:rPr>
      </w:pPr>
      <w:r>
        <w:rPr>
          <w:rFonts w:hint="eastAsia" w:ascii="楷体_GB2312" w:eastAsia="楷体_GB2312"/>
          <w:sz w:val="32"/>
          <w:szCs w:val="32"/>
          <w:highlight w:val="none"/>
        </w:rPr>
        <w:t>（一）自评得分情况</w:t>
      </w:r>
    </w:p>
    <w:p w14:paraId="2CEC6BCC">
      <w:pPr>
        <w:pStyle w:val="6"/>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2025年区教委部门整体绩效评价得分为99分，综合评价等级为“优”，各一级指标得分情况如下表：</w:t>
      </w:r>
    </w:p>
    <w:p w14:paraId="682DFD85">
      <w:pPr>
        <w:keepNext w:val="0"/>
        <w:keepLines w:val="0"/>
        <w:pageBreakBefore w:val="0"/>
        <w:widowControl w:val="0"/>
        <w:shd w:val="clear"/>
        <w:kinsoku/>
        <w:wordWrap/>
        <w:overflowPunct/>
        <w:topLinePunct w:val="0"/>
        <w:autoSpaceDE/>
        <w:autoSpaceDN/>
        <w:bidi w:val="0"/>
        <w:spacing w:line="560" w:lineRule="exact"/>
        <w:jc w:val="center"/>
        <w:textAlignment w:val="auto"/>
        <w:rPr>
          <w:rFonts w:hint="eastAsia" w:ascii="黑体" w:hAnsi="黑体" w:eastAsia="黑体" w:cs="Times New Roman"/>
          <w:sz w:val="28"/>
          <w:szCs w:val="28"/>
          <w:highlight w:val="none"/>
        </w:rPr>
      </w:pPr>
      <w:r>
        <w:rPr>
          <w:rFonts w:hint="eastAsia" w:ascii="黑体" w:hAnsi="黑体" w:eastAsia="黑体" w:cs="Times New Roman"/>
          <w:sz w:val="28"/>
          <w:szCs w:val="28"/>
          <w:highlight w:val="none"/>
        </w:rPr>
        <w:t>表4</w:t>
      </w:r>
      <w:r>
        <w:rPr>
          <w:rFonts w:hint="eastAsia" w:ascii="黑体" w:hAnsi="黑体" w:eastAsia="黑体" w:cs="Times New Roman"/>
          <w:sz w:val="28"/>
          <w:szCs w:val="28"/>
          <w:highlight w:val="none"/>
          <w:lang w:eastAsia="zh-CN"/>
        </w:rPr>
        <w:t>：</w:t>
      </w:r>
      <w:r>
        <w:rPr>
          <w:rFonts w:hint="eastAsia" w:ascii="黑体" w:hAnsi="黑体" w:eastAsia="黑体" w:cs="Times New Roman"/>
          <w:sz w:val="28"/>
          <w:szCs w:val="28"/>
          <w:highlight w:val="none"/>
        </w:rPr>
        <w:t>202</w:t>
      </w:r>
      <w:r>
        <w:rPr>
          <w:rFonts w:hint="eastAsia" w:ascii="黑体" w:hAnsi="黑体" w:eastAsia="黑体" w:cs="Times New Roman"/>
          <w:sz w:val="28"/>
          <w:szCs w:val="28"/>
          <w:highlight w:val="none"/>
          <w:lang w:val="en-US" w:eastAsia="zh-CN"/>
        </w:rPr>
        <w:t>5</w:t>
      </w:r>
      <w:r>
        <w:rPr>
          <w:rFonts w:hint="eastAsia" w:ascii="黑体" w:hAnsi="黑体" w:eastAsia="黑体" w:cs="Times New Roman"/>
          <w:sz w:val="28"/>
          <w:szCs w:val="28"/>
          <w:highlight w:val="none"/>
        </w:rPr>
        <w:t>年区教委部门整体绩效得分情况表</w:t>
      </w:r>
    </w:p>
    <w:tbl>
      <w:tblPr>
        <w:tblStyle w:val="12"/>
        <w:tblW w:w="49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79"/>
        <w:gridCol w:w="2714"/>
        <w:gridCol w:w="3357"/>
        <w:gridCol w:w="3052"/>
      </w:tblGrid>
      <w:tr w14:paraId="5BF99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64" w:type="pct"/>
            <w:vAlign w:val="center"/>
          </w:tcPr>
          <w:p w14:paraId="3A1EF9CF">
            <w:pPr>
              <w:shd w:val="clear"/>
              <w:jc w:val="center"/>
              <w:rPr>
                <w:b/>
                <w:bCs/>
                <w:sz w:val="20"/>
                <w:szCs w:val="20"/>
                <w:highlight w:val="none"/>
              </w:rPr>
            </w:pPr>
            <w:r>
              <w:rPr>
                <w:b/>
                <w:bCs/>
                <w:sz w:val="20"/>
                <w:szCs w:val="20"/>
                <w:highlight w:val="none"/>
              </w:rPr>
              <w:t>一级指标</w:t>
            </w:r>
          </w:p>
        </w:tc>
        <w:tc>
          <w:tcPr>
            <w:tcW w:w="1051" w:type="pct"/>
            <w:vAlign w:val="center"/>
          </w:tcPr>
          <w:p w14:paraId="127DA6F1">
            <w:pPr>
              <w:shd w:val="clear"/>
              <w:jc w:val="center"/>
              <w:rPr>
                <w:b/>
                <w:bCs/>
                <w:sz w:val="20"/>
                <w:szCs w:val="20"/>
                <w:highlight w:val="none"/>
              </w:rPr>
            </w:pPr>
            <w:r>
              <w:rPr>
                <w:b/>
                <w:bCs/>
                <w:sz w:val="20"/>
                <w:szCs w:val="20"/>
                <w:highlight w:val="none"/>
              </w:rPr>
              <w:t>分值</w:t>
            </w:r>
          </w:p>
        </w:tc>
        <w:tc>
          <w:tcPr>
            <w:tcW w:w="1300" w:type="pct"/>
            <w:vAlign w:val="center"/>
          </w:tcPr>
          <w:p w14:paraId="2A6270DA">
            <w:pPr>
              <w:shd w:val="clear"/>
              <w:jc w:val="center"/>
              <w:rPr>
                <w:b/>
                <w:bCs/>
                <w:sz w:val="20"/>
                <w:szCs w:val="20"/>
                <w:highlight w:val="none"/>
              </w:rPr>
            </w:pPr>
            <w:r>
              <w:rPr>
                <w:b/>
                <w:bCs/>
                <w:sz w:val="20"/>
                <w:szCs w:val="20"/>
                <w:highlight w:val="none"/>
              </w:rPr>
              <w:t>得分</w:t>
            </w:r>
          </w:p>
        </w:tc>
        <w:tc>
          <w:tcPr>
            <w:tcW w:w="1182" w:type="pct"/>
            <w:vAlign w:val="center"/>
          </w:tcPr>
          <w:p w14:paraId="752C3C74">
            <w:pPr>
              <w:shd w:val="clear"/>
              <w:jc w:val="center"/>
              <w:rPr>
                <w:b/>
                <w:bCs/>
                <w:sz w:val="20"/>
                <w:szCs w:val="20"/>
                <w:highlight w:val="none"/>
              </w:rPr>
            </w:pPr>
            <w:r>
              <w:rPr>
                <w:b/>
                <w:bCs/>
                <w:sz w:val="20"/>
                <w:szCs w:val="20"/>
                <w:highlight w:val="none"/>
              </w:rPr>
              <w:t>得分率</w:t>
            </w:r>
          </w:p>
        </w:tc>
      </w:tr>
      <w:tr w14:paraId="39AEF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64" w:type="pct"/>
            <w:vAlign w:val="center"/>
          </w:tcPr>
          <w:p w14:paraId="2D6C43B1">
            <w:pPr>
              <w:shd w:val="clear"/>
              <w:jc w:val="center"/>
              <w:rPr>
                <w:sz w:val="20"/>
                <w:szCs w:val="20"/>
                <w:highlight w:val="none"/>
              </w:rPr>
            </w:pPr>
            <w:r>
              <w:rPr>
                <w:sz w:val="20"/>
                <w:szCs w:val="20"/>
                <w:highlight w:val="none"/>
              </w:rPr>
              <w:t>当年预算执行情况</w:t>
            </w:r>
          </w:p>
        </w:tc>
        <w:tc>
          <w:tcPr>
            <w:tcW w:w="1051" w:type="pct"/>
            <w:vAlign w:val="center"/>
          </w:tcPr>
          <w:p w14:paraId="27CE9E1D">
            <w:pPr>
              <w:shd w:val="clear"/>
              <w:jc w:val="center"/>
              <w:rPr>
                <w:sz w:val="20"/>
                <w:szCs w:val="20"/>
                <w:highlight w:val="none"/>
              </w:rPr>
            </w:pPr>
            <w:r>
              <w:rPr>
                <w:sz w:val="20"/>
                <w:szCs w:val="20"/>
                <w:highlight w:val="none"/>
              </w:rPr>
              <w:t>20</w:t>
            </w:r>
          </w:p>
        </w:tc>
        <w:tc>
          <w:tcPr>
            <w:tcW w:w="1300" w:type="pct"/>
            <w:vAlign w:val="center"/>
          </w:tcPr>
          <w:p w14:paraId="6C42095E">
            <w:pPr>
              <w:shd w:val="clear"/>
              <w:jc w:val="center"/>
              <w:rPr>
                <w:rFonts w:hint="default"/>
                <w:sz w:val="20"/>
                <w:szCs w:val="20"/>
                <w:highlight w:val="none"/>
                <w:lang w:val="en-US"/>
              </w:rPr>
            </w:pPr>
            <w:r>
              <w:rPr>
                <w:rFonts w:hint="default"/>
                <w:sz w:val="20"/>
                <w:szCs w:val="20"/>
                <w:highlight w:val="none"/>
                <w:lang w:val="en-US"/>
              </w:rPr>
              <w:t>20</w:t>
            </w:r>
          </w:p>
        </w:tc>
        <w:tc>
          <w:tcPr>
            <w:tcW w:w="1182" w:type="pct"/>
            <w:vAlign w:val="center"/>
          </w:tcPr>
          <w:p w14:paraId="3E7F3A53">
            <w:pPr>
              <w:shd w:val="clear"/>
              <w:jc w:val="center"/>
              <w:rPr>
                <w:sz w:val="20"/>
                <w:szCs w:val="20"/>
                <w:highlight w:val="none"/>
              </w:rPr>
            </w:pPr>
            <w:r>
              <w:rPr>
                <w:rFonts w:hint="default"/>
                <w:color w:val="000000"/>
                <w:sz w:val="20"/>
                <w:szCs w:val="20"/>
                <w:highlight w:val="none"/>
                <w:lang w:val="en-US"/>
              </w:rPr>
              <w:t>100</w:t>
            </w:r>
            <w:r>
              <w:rPr>
                <w:color w:val="000000"/>
                <w:sz w:val="20"/>
                <w:szCs w:val="20"/>
                <w:highlight w:val="none"/>
              </w:rPr>
              <w:t>%</w:t>
            </w:r>
          </w:p>
        </w:tc>
      </w:tr>
      <w:tr w14:paraId="2BE4E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64" w:type="pct"/>
            <w:vAlign w:val="center"/>
          </w:tcPr>
          <w:p w14:paraId="1DF43B13">
            <w:pPr>
              <w:shd w:val="clear"/>
              <w:jc w:val="center"/>
              <w:rPr>
                <w:sz w:val="20"/>
                <w:szCs w:val="20"/>
                <w:highlight w:val="none"/>
              </w:rPr>
            </w:pPr>
            <w:r>
              <w:rPr>
                <w:sz w:val="20"/>
                <w:szCs w:val="20"/>
                <w:highlight w:val="none"/>
              </w:rPr>
              <w:t>整体绩效目标实现情况</w:t>
            </w:r>
          </w:p>
        </w:tc>
        <w:tc>
          <w:tcPr>
            <w:tcW w:w="1051" w:type="pct"/>
            <w:vAlign w:val="center"/>
          </w:tcPr>
          <w:p w14:paraId="0D276E6C">
            <w:pPr>
              <w:shd w:val="clear"/>
              <w:jc w:val="center"/>
              <w:rPr>
                <w:sz w:val="20"/>
                <w:szCs w:val="20"/>
                <w:highlight w:val="none"/>
              </w:rPr>
            </w:pPr>
            <w:r>
              <w:rPr>
                <w:sz w:val="20"/>
                <w:szCs w:val="20"/>
                <w:highlight w:val="none"/>
              </w:rPr>
              <w:t>60</w:t>
            </w:r>
          </w:p>
        </w:tc>
        <w:tc>
          <w:tcPr>
            <w:tcW w:w="1300" w:type="pct"/>
            <w:vAlign w:val="center"/>
          </w:tcPr>
          <w:p w14:paraId="28F16507">
            <w:pPr>
              <w:shd w:val="clear"/>
              <w:jc w:val="center"/>
              <w:rPr>
                <w:rFonts w:hint="default" w:eastAsia="宋体"/>
                <w:sz w:val="20"/>
                <w:szCs w:val="20"/>
                <w:highlight w:val="none"/>
                <w:lang w:val="en-US" w:eastAsia="zh-CN"/>
              </w:rPr>
            </w:pPr>
            <w:r>
              <w:rPr>
                <w:rFonts w:hint="eastAsia"/>
                <w:sz w:val="20"/>
                <w:szCs w:val="20"/>
                <w:highlight w:val="none"/>
                <w:lang w:val="en-US" w:eastAsia="zh-CN"/>
              </w:rPr>
              <w:t>60</w:t>
            </w:r>
          </w:p>
        </w:tc>
        <w:tc>
          <w:tcPr>
            <w:tcW w:w="1182" w:type="pct"/>
            <w:vAlign w:val="center"/>
          </w:tcPr>
          <w:p w14:paraId="54855E47">
            <w:pPr>
              <w:shd w:val="clear"/>
              <w:jc w:val="center"/>
              <w:rPr>
                <w:sz w:val="20"/>
                <w:szCs w:val="20"/>
                <w:highlight w:val="none"/>
              </w:rPr>
            </w:pPr>
            <w:r>
              <w:rPr>
                <w:rFonts w:hint="eastAsia"/>
                <w:color w:val="000000"/>
                <w:sz w:val="20"/>
                <w:szCs w:val="20"/>
                <w:highlight w:val="none"/>
                <w:lang w:val="en-US" w:eastAsia="zh-CN"/>
              </w:rPr>
              <w:t>100</w:t>
            </w:r>
            <w:r>
              <w:rPr>
                <w:color w:val="000000"/>
                <w:sz w:val="20"/>
                <w:szCs w:val="20"/>
                <w:highlight w:val="none"/>
              </w:rPr>
              <w:t>%</w:t>
            </w:r>
          </w:p>
        </w:tc>
      </w:tr>
      <w:tr w14:paraId="0BBD7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64" w:type="pct"/>
            <w:vAlign w:val="center"/>
          </w:tcPr>
          <w:p w14:paraId="13AFB603">
            <w:pPr>
              <w:shd w:val="clear"/>
              <w:jc w:val="center"/>
              <w:rPr>
                <w:sz w:val="20"/>
                <w:szCs w:val="20"/>
                <w:highlight w:val="none"/>
              </w:rPr>
            </w:pPr>
            <w:r>
              <w:rPr>
                <w:sz w:val="20"/>
                <w:szCs w:val="20"/>
                <w:highlight w:val="none"/>
              </w:rPr>
              <w:t>预算管理情况</w:t>
            </w:r>
          </w:p>
        </w:tc>
        <w:tc>
          <w:tcPr>
            <w:tcW w:w="1051" w:type="pct"/>
            <w:vAlign w:val="center"/>
          </w:tcPr>
          <w:p w14:paraId="0773C7C4">
            <w:pPr>
              <w:shd w:val="clear"/>
              <w:jc w:val="center"/>
              <w:rPr>
                <w:sz w:val="20"/>
                <w:szCs w:val="20"/>
                <w:highlight w:val="none"/>
              </w:rPr>
            </w:pPr>
            <w:r>
              <w:rPr>
                <w:sz w:val="20"/>
                <w:szCs w:val="20"/>
                <w:highlight w:val="none"/>
              </w:rPr>
              <w:t>20</w:t>
            </w:r>
          </w:p>
        </w:tc>
        <w:tc>
          <w:tcPr>
            <w:tcW w:w="1300" w:type="pct"/>
            <w:vAlign w:val="center"/>
          </w:tcPr>
          <w:p w14:paraId="59DA58A6">
            <w:pPr>
              <w:shd w:val="clear"/>
              <w:jc w:val="center"/>
              <w:rPr>
                <w:rFonts w:hint="default" w:eastAsia="宋体"/>
                <w:sz w:val="20"/>
                <w:szCs w:val="20"/>
                <w:highlight w:val="none"/>
                <w:lang w:val="en-US" w:eastAsia="zh-CN"/>
              </w:rPr>
            </w:pPr>
            <w:r>
              <w:rPr>
                <w:rFonts w:hint="eastAsia"/>
                <w:sz w:val="20"/>
                <w:szCs w:val="20"/>
                <w:highlight w:val="none"/>
                <w:lang w:val="en-US" w:eastAsia="zh-CN"/>
              </w:rPr>
              <w:t>19</w:t>
            </w:r>
          </w:p>
        </w:tc>
        <w:tc>
          <w:tcPr>
            <w:tcW w:w="1182" w:type="pct"/>
            <w:vAlign w:val="center"/>
          </w:tcPr>
          <w:p w14:paraId="5A9499FD">
            <w:pPr>
              <w:shd w:val="clear"/>
              <w:jc w:val="center"/>
              <w:rPr>
                <w:sz w:val="20"/>
                <w:szCs w:val="20"/>
                <w:highlight w:val="none"/>
              </w:rPr>
            </w:pPr>
            <w:r>
              <w:rPr>
                <w:rFonts w:hint="default"/>
                <w:color w:val="000000"/>
                <w:sz w:val="20"/>
                <w:szCs w:val="20"/>
                <w:highlight w:val="none"/>
                <w:lang w:val="en-US"/>
              </w:rPr>
              <w:t>100</w:t>
            </w:r>
            <w:r>
              <w:rPr>
                <w:color w:val="000000"/>
                <w:sz w:val="20"/>
                <w:szCs w:val="20"/>
                <w:highlight w:val="none"/>
              </w:rPr>
              <w:t>%</w:t>
            </w:r>
          </w:p>
        </w:tc>
      </w:tr>
      <w:tr w14:paraId="3F25A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64" w:type="pct"/>
            <w:vAlign w:val="center"/>
          </w:tcPr>
          <w:p w14:paraId="008870CC">
            <w:pPr>
              <w:shd w:val="clear"/>
              <w:jc w:val="center"/>
              <w:rPr>
                <w:b/>
                <w:bCs/>
                <w:sz w:val="20"/>
                <w:szCs w:val="20"/>
                <w:highlight w:val="none"/>
              </w:rPr>
            </w:pPr>
            <w:r>
              <w:rPr>
                <w:b/>
                <w:bCs/>
                <w:sz w:val="20"/>
                <w:szCs w:val="20"/>
                <w:highlight w:val="none"/>
              </w:rPr>
              <w:t>合计</w:t>
            </w:r>
          </w:p>
        </w:tc>
        <w:tc>
          <w:tcPr>
            <w:tcW w:w="1051" w:type="pct"/>
            <w:vAlign w:val="center"/>
          </w:tcPr>
          <w:p w14:paraId="347106C4">
            <w:pPr>
              <w:shd w:val="clear"/>
              <w:jc w:val="center"/>
              <w:rPr>
                <w:sz w:val="20"/>
                <w:szCs w:val="20"/>
                <w:highlight w:val="none"/>
              </w:rPr>
            </w:pPr>
            <w:r>
              <w:rPr>
                <w:sz w:val="20"/>
                <w:szCs w:val="20"/>
                <w:highlight w:val="none"/>
              </w:rPr>
              <w:t>100</w:t>
            </w:r>
          </w:p>
        </w:tc>
        <w:tc>
          <w:tcPr>
            <w:tcW w:w="1300" w:type="pct"/>
            <w:vAlign w:val="center"/>
          </w:tcPr>
          <w:p w14:paraId="42EC6219">
            <w:pPr>
              <w:shd w:val="clear"/>
              <w:jc w:val="center"/>
              <w:rPr>
                <w:sz w:val="20"/>
                <w:szCs w:val="20"/>
                <w:highlight w:val="none"/>
              </w:rPr>
            </w:pPr>
            <w:r>
              <w:rPr>
                <w:rFonts w:hint="eastAsia"/>
                <w:sz w:val="20"/>
                <w:szCs w:val="20"/>
                <w:highlight w:val="none"/>
              </w:rPr>
              <w:t>99</w:t>
            </w:r>
          </w:p>
        </w:tc>
        <w:tc>
          <w:tcPr>
            <w:tcW w:w="1182" w:type="pct"/>
            <w:vAlign w:val="center"/>
          </w:tcPr>
          <w:p w14:paraId="517B7734">
            <w:pPr>
              <w:shd w:val="clear"/>
              <w:jc w:val="center"/>
              <w:rPr>
                <w:sz w:val="20"/>
                <w:szCs w:val="20"/>
                <w:highlight w:val="none"/>
              </w:rPr>
            </w:pPr>
            <w:r>
              <w:rPr>
                <w:rFonts w:hint="eastAsia"/>
                <w:color w:val="000000"/>
                <w:sz w:val="20"/>
                <w:szCs w:val="20"/>
                <w:highlight w:val="none"/>
                <w:lang w:val="en-US" w:eastAsia="zh-CN"/>
              </w:rPr>
              <w:t>100</w:t>
            </w:r>
            <w:r>
              <w:rPr>
                <w:color w:val="000000"/>
                <w:sz w:val="20"/>
                <w:szCs w:val="20"/>
                <w:highlight w:val="none"/>
              </w:rPr>
              <w:t>%</w:t>
            </w:r>
          </w:p>
        </w:tc>
      </w:tr>
    </w:tbl>
    <w:p w14:paraId="13E8C226">
      <w:pPr>
        <w:numPr>
          <w:ilvl w:val="0"/>
          <w:numId w:val="0"/>
        </w:numPr>
        <w:overflowPunct w:val="0"/>
        <w:spacing w:line="560" w:lineRule="exact"/>
        <w:ind w:firstLine="640" w:firstLineChars="200"/>
        <w:rPr>
          <w:rFonts w:hint="eastAsia" w:ascii="楷体_GB2312" w:eastAsia="楷体_GB2312"/>
          <w:sz w:val="32"/>
          <w:szCs w:val="32"/>
          <w:highlight w:val="none"/>
        </w:rPr>
      </w:pPr>
      <w:r>
        <w:rPr>
          <w:rFonts w:hint="eastAsia" w:ascii="楷体_GB2312" w:hAnsi="Times New Roman" w:eastAsia="楷体_GB2312" w:cs="Times New Roman"/>
          <w:kern w:val="2"/>
          <w:sz w:val="32"/>
          <w:szCs w:val="32"/>
          <w:highlight w:val="none"/>
          <w:lang w:val="en-US" w:eastAsia="zh-CN" w:bidi="ar-SA"/>
        </w:rPr>
        <w:t>（二）</w:t>
      </w:r>
      <w:r>
        <w:rPr>
          <w:rFonts w:hint="eastAsia" w:ascii="楷体_GB2312" w:eastAsia="楷体_GB2312"/>
          <w:sz w:val="32"/>
          <w:szCs w:val="32"/>
          <w:highlight w:val="none"/>
        </w:rPr>
        <w:t>存在的问题及原因分析</w:t>
      </w:r>
    </w:p>
    <w:p w14:paraId="2E26D799">
      <w:pPr>
        <w:pStyle w:val="6"/>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楷体_GB2312" w:eastAsia="楷体_GB2312"/>
          <w:sz w:val="32"/>
          <w:szCs w:val="32"/>
          <w:highlight w:val="none"/>
        </w:rPr>
      </w:pPr>
      <w:bookmarkStart w:id="2" w:name="_Toc16033"/>
      <w:r>
        <w:rPr>
          <w:rFonts w:hint="eastAsia" w:ascii="仿宋_GB2312" w:hAnsi="仿宋_GB2312" w:eastAsia="仿宋_GB2312" w:cs="仿宋_GB2312"/>
          <w:sz w:val="32"/>
          <w:szCs w:val="32"/>
          <w:highlight w:val="none"/>
          <w:lang w:val="en-US" w:eastAsia="zh-CN"/>
        </w:rPr>
        <w:t>部分项目绩效信息收集有待进一步加强，项目实施绩效展现不够充分。如项目效益指标的实现情况缺乏材料支撑，部分项目在实施完毕后未能及时开展绩效数据收集及满意度调查工作，相关绩效数据及支撑材料收集不够充分，一定程度上影响了对效益实现情况的评价。</w:t>
      </w:r>
      <w:bookmarkEnd w:id="2"/>
    </w:p>
    <w:p w14:paraId="3B77057A">
      <w:pPr>
        <w:numPr>
          <w:ilvl w:val="0"/>
          <w:numId w:val="1"/>
        </w:numPr>
        <w:overflowPunct w:val="0"/>
        <w:spacing w:line="560" w:lineRule="exact"/>
        <w:ind w:firstLine="640" w:firstLineChars="200"/>
        <w:outlineLvl w:val="0"/>
        <w:rPr>
          <w:rFonts w:hint="eastAsia" w:ascii="黑体" w:hAnsi="黑体" w:eastAsia="黑体" w:cs="宋体"/>
          <w:color w:val="000000"/>
          <w:kern w:val="0"/>
          <w:sz w:val="32"/>
          <w:szCs w:val="32"/>
          <w:highlight w:val="none"/>
          <w:lang w:eastAsia="zh-CN"/>
        </w:rPr>
      </w:pPr>
      <w:r>
        <w:rPr>
          <w:rFonts w:hint="eastAsia" w:ascii="黑体" w:hAnsi="黑体" w:eastAsia="黑体" w:cs="宋体"/>
          <w:color w:val="000000"/>
          <w:kern w:val="0"/>
          <w:sz w:val="32"/>
          <w:szCs w:val="32"/>
          <w:highlight w:val="none"/>
        </w:rPr>
        <w:t>措施建议</w:t>
      </w:r>
    </w:p>
    <w:p w14:paraId="6604BD0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eastAsia="仿宋_GB2312" w:cs="仿宋_GB2312"/>
          <w:sz w:val="32"/>
          <w:szCs w:val="32"/>
          <w:highlight w:val="none"/>
        </w:rPr>
      </w:pPr>
      <w:bookmarkStart w:id="3" w:name="_Toc7720"/>
      <w:bookmarkStart w:id="4" w:name="_Toc20533"/>
      <w:r>
        <w:rPr>
          <w:rFonts w:hint="eastAsia" w:ascii="仿宋_GB2312" w:hAnsi="仿宋_GB2312" w:eastAsia="仿宋_GB2312" w:cs="仿宋_GB2312"/>
          <w:sz w:val="32"/>
          <w:szCs w:val="32"/>
          <w:highlight w:val="none"/>
          <w:lang w:val="en-US" w:eastAsia="zh-CN"/>
        </w:rPr>
        <w:t>加强绩效成果资料的归集，进一步加强绩效数据收集分析。针对实施周期较长的项目可探索建立绩效信息的跟踪机制，加强对绩效成果的跟踪及统计分析，为后续工作改进以及绩效评价提供绩效数据及支撑材料。</w:t>
      </w:r>
      <w:bookmarkEnd w:id="3"/>
      <w:bookmarkEnd w:id="4"/>
    </w:p>
    <w:p w14:paraId="484EAF54">
      <w:pPr>
        <w:widowControl/>
        <w:ind w:firstLine="640"/>
        <w:jc w:val="left"/>
        <w:rPr>
          <w:rFonts w:ascii="仿宋_GB2312" w:hAnsi="仿宋_GB2312" w:eastAsia="仿宋_GB2312" w:cs="仿宋_GB2312"/>
          <w:sz w:val="32"/>
          <w:szCs w:val="32"/>
          <w:highlight w:val="none"/>
        </w:rPr>
        <w:sectPr>
          <w:footerReference r:id="rId3" w:type="default"/>
          <w:pgSz w:w="16838" w:h="11906" w:orient="landscape"/>
          <w:pgMar w:top="1531" w:right="2098" w:bottom="1531" w:left="1984" w:header="851" w:footer="1418" w:gutter="0"/>
          <w:cols w:space="720" w:num="1"/>
          <w:docGrid w:type="lines" w:linePitch="435" w:charSpace="0"/>
        </w:sectPr>
      </w:pPr>
    </w:p>
    <w:p w14:paraId="74733131">
      <w:pPr>
        <w:overflowPunct w:val="0"/>
        <w:spacing w:line="560" w:lineRule="exact"/>
        <w:jc w:val="center"/>
        <w:rPr>
          <w:rFonts w:hint="eastAsia" w:ascii="方正小标宋简体" w:hAnsi="方正小标宋简体" w:eastAsia="方正小标宋简体" w:cs="方正小标宋简体"/>
          <w:sz w:val="44"/>
          <w:szCs w:val="36"/>
          <w:highlight w:val="none"/>
        </w:rPr>
      </w:pPr>
      <w:r>
        <w:rPr>
          <w:rFonts w:hint="eastAsia" w:ascii="方正小标宋简体" w:hAnsi="方正小标宋简体" w:eastAsia="方正小标宋简体" w:cs="方正小标宋简体"/>
          <w:sz w:val="44"/>
          <w:szCs w:val="36"/>
          <w:highlight w:val="none"/>
        </w:rPr>
        <w:t>北京市海淀区教育委员会</w:t>
      </w:r>
    </w:p>
    <w:p w14:paraId="7371B84F">
      <w:pPr>
        <w:overflowPunct w:val="0"/>
        <w:spacing w:line="560" w:lineRule="exact"/>
        <w:jc w:val="center"/>
        <w:rPr>
          <w:rFonts w:hint="eastAsia" w:ascii="方正小标宋简体" w:hAnsi="方正小标宋简体" w:eastAsia="方正小标宋简体" w:cs="方正小标宋简体"/>
          <w:sz w:val="44"/>
          <w:szCs w:val="36"/>
          <w:highlight w:val="none"/>
        </w:rPr>
      </w:pPr>
      <w:r>
        <w:rPr>
          <w:rFonts w:hint="eastAsia" w:ascii="方正小标宋简体" w:hAnsi="方正小标宋简体" w:eastAsia="方正小标宋简体" w:cs="方正小标宋简体"/>
          <w:sz w:val="44"/>
          <w:szCs w:val="36"/>
          <w:highlight w:val="none"/>
        </w:rPr>
        <w:t>支持学前教育发展补助资金项目绩效自评报告</w:t>
      </w:r>
    </w:p>
    <w:p w14:paraId="4898CD5F">
      <w:pPr>
        <w:adjustRightInd w:val="0"/>
        <w:snapToGrid w:val="0"/>
        <w:spacing w:line="360" w:lineRule="auto"/>
        <w:ind w:firstLine="640" w:firstLineChars="200"/>
        <w:rPr>
          <w:rFonts w:ascii="仿宋_GB2312" w:hAnsi="Arial" w:eastAsia="仿宋_GB2312" w:cs="Arial"/>
          <w:bCs/>
          <w:sz w:val="32"/>
          <w:szCs w:val="32"/>
          <w:highlight w:val="none"/>
        </w:rPr>
      </w:pPr>
    </w:p>
    <w:p w14:paraId="4634ACEE">
      <w:pPr>
        <w:overflowPunct w:val="0"/>
        <w:spacing w:line="560" w:lineRule="exact"/>
        <w:ind w:firstLine="640" w:firstLineChars="200"/>
        <w:rPr>
          <w:rFonts w:ascii="仿宋_GB2312" w:hAnsi="Arial" w:eastAsia="仿宋_GB2312" w:cs="Arial"/>
          <w:bCs/>
          <w:sz w:val="32"/>
          <w:szCs w:val="32"/>
          <w:highlight w:val="none"/>
        </w:rPr>
      </w:pPr>
      <w:r>
        <w:rPr>
          <w:rFonts w:hint="eastAsia" w:ascii="仿宋_GB2312" w:hAnsi="Arial" w:eastAsia="仿宋_GB2312" w:cs="Arial"/>
          <w:bCs/>
          <w:sz w:val="32"/>
          <w:szCs w:val="32"/>
          <w:highlight w:val="none"/>
        </w:rPr>
        <w:t>为提高财政资金使用效益，根据《北京市海淀区预算绩效管理办法》（海财绩〔2020〕678号）、《北京市海淀区项目支出绩效评价管理办法》（海财绩〔2021〕367号）等相关文件要求，我单位于</w:t>
      </w:r>
      <w:r>
        <w:rPr>
          <w:rFonts w:hint="eastAsia" w:ascii="仿宋_GB2312" w:hAnsi="Arial" w:eastAsia="仿宋_GB2312" w:cs="Arial"/>
          <w:bCs/>
          <w:sz w:val="32"/>
          <w:szCs w:val="32"/>
          <w:highlight w:val="none"/>
          <w:lang w:val="en-US" w:eastAsia="zh-CN"/>
        </w:rPr>
        <w:t>2026</w:t>
      </w:r>
      <w:r>
        <w:rPr>
          <w:rFonts w:hint="eastAsia" w:ascii="仿宋_GB2312" w:hAnsi="Arial" w:eastAsia="仿宋_GB2312" w:cs="Arial"/>
          <w:bCs/>
          <w:sz w:val="32"/>
          <w:szCs w:val="32"/>
          <w:highlight w:val="none"/>
        </w:rPr>
        <w:t>年</w:t>
      </w:r>
      <w:r>
        <w:rPr>
          <w:rFonts w:hint="eastAsia" w:ascii="仿宋_GB2312" w:hAnsi="Arial" w:eastAsia="仿宋_GB2312" w:cs="Arial"/>
          <w:bCs/>
          <w:sz w:val="32"/>
          <w:szCs w:val="32"/>
          <w:highlight w:val="none"/>
          <w:lang w:val="en-US" w:eastAsia="zh-CN"/>
        </w:rPr>
        <w:t>6</w:t>
      </w:r>
      <w:r>
        <w:rPr>
          <w:rFonts w:hint="eastAsia" w:ascii="仿宋_GB2312" w:hAnsi="Arial" w:eastAsia="仿宋_GB2312" w:cs="Arial"/>
          <w:bCs/>
          <w:sz w:val="32"/>
          <w:szCs w:val="32"/>
          <w:highlight w:val="none"/>
        </w:rPr>
        <w:t>月，对“支持学前教育发展补助资金项目”项目开展了绩效自评。该项目自评结果为</w:t>
      </w:r>
      <w:r>
        <w:rPr>
          <w:rFonts w:hint="eastAsia" w:ascii="仿宋_GB2312" w:hAnsi="Arial" w:eastAsia="仿宋_GB2312" w:cs="Arial"/>
          <w:bCs/>
          <w:sz w:val="32"/>
          <w:szCs w:val="32"/>
          <w:highlight w:val="none"/>
          <w:lang w:val="en-US" w:eastAsia="zh-CN"/>
        </w:rPr>
        <w:t>99.9</w:t>
      </w:r>
      <w:r>
        <w:rPr>
          <w:rFonts w:hint="eastAsia" w:ascii="仿宋_GB2312" w:hAnsi="Arial" w:eastAsia="仿宋_GB2312" w:cs="Arial"/>
          <w:bCs/>
          <w:sz w:val="32"/>
          <w:szCs w:val="32"/>
          <w:highlight w:val="none"/>
        </w:rPr>
        <w:t>分。有关情况如下。</w:t>
      </w:r>
    </w:p>
    <w:p w14:paraId="3753F030">
      <w:pPr>
        <w:overflowPunct w:val="0"/>
        <w:spacing w:line="560" w:lineRule="exact"/>
        <w:ind w:firstLine="640" w:firstLineChars="200"/>
        <w:rPr>
          <w:rFonts w:ascii="黑体" w:hAnsi="黑体" w:eastAsia="黑体"/>
          <w:sz w:val="32"/>
          <w:szCs w:val="32"/>
          <w:highlight w:val="none"/>
        </w:rPr>
      </w:pPr>
      <w:bookmarkStart w:id="5" w:name="_Toc107562449"/>
      <w:r>
        <w:rPr>
          <w:rFonts w:hint="eastAsia" w:ascii="黑体" w:hAnsi="黑体" w:eastAsia="黑体"/>
          <w:sz w:val="32"/>
          <w:szCs w:val="32"/>
          <w:highlight w:val="none"/>
        </w:rPr>
        <w:t>一、基本情况</w:t>
      </w:r>
      <w:bookmarkEnd w:id="5"/>
    </w:p>
    <w:p w14:paraId="14853AD4">
      <w:pPr>
        <w:overflowPunct w:val="0"/>
        <w:spacing w:line="560" w:lineRule="exact"/>
        <w:ind w:firstLine="640" w:firstLineChars="200"/>
        <w:rPr>
          <w:rFonts w:ascii="仿宋_GB2312" w:hAnsi="宋体" w:eastAsia="仿宋_GB2312" w:cs="宋体"/>
          <w:iCs/>
          <w:color w:val="000000"/>
          <w:kern w:val="0"/>
          <w:sz w:val="32"/>
          <w:szCs w:val="32"/>
          <w:highlight w:val="none"/>
        </w:rPr>
      </w:pPr>
      <w:bookmarkStart w:id="6" w:name="_Toc107562450"/>
      <w:r>
        <w:rPr>
          <w:rFonts w:hint="eastAsia" w:ascii="楷体_GB2312" w:hAnsi="Arial" w:eastAsia="楷体_GB2312" w:cs="Arial"/>
          <w:bCs/>
          <w:sz w:val="32"/>
          <w:szCs w:val="32"/>
          <w:highlight w:val="none"/>
        </w:rPr>
        <w:t>（一）项目</w:t>
      </w:r>
      <w:bookmarkEnd w:id="6"/>
      <w:r>
        <w:rPr>
          <w:rFonts w:hint="eastAsia" w:ascii="楷体_GB2312" w:hAnsi="Arial" w:eastAsia="楷体_GB2312" w:cs="Arial"/>
          <w:bCs/>
          <w:sz w:val="32"/>
          <w:szCs w:val="32"/>
          <w:highlight w:val="none"/>
        </w:rPr>
        <w:t>背景</w:t>
      </w:r>
    </w:p>
    <w:p w14:paraId="6D543410">
      <w:pPr>
        <w:overflowPunct w:val="0"/>
        <w:spacing w:line="560" w:lineRule="exact"/>
        <w:ind w:firstLine="640" w:firstLineChars="200"/>
        <w:rPr>
          <w:rFonts w:hint="eastAsia" w:ascii="仿宋_GB2312" w:hAnsi="Arial" w:eastAsia="仿宋_GB2312" w:cs="Arial"/>
          <w:bCs/>
          <w:sz w:val="32"/>
          <w:szCs w:val="32"/>
          <w:highlight w:val="none"/>
        </w:rPr>
      </w:pPr>
      <w:r>
        <w:rPr>
          <w:rFonts w:hint="eastAsia" w:ascii="仿宋_GB2312" w:hAnsi="Arial" w:eastAsia="仿宋_GB2312" w:cs="Arial"/>
          <w:bCs/>
          <w:sz w:val="32"/>
          <w:szCs w:val="32"/>
          <w:highlight w:val="none"/>
        </w:rPr>
        <w:t>1.项目立项依据</w:t>
      </w:r>
    </w:p>
    <w:p w14:paraId="481AE9DC">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Arial" w:eastAsia="仿宋_GB2312" w:cs="Arial"/>
          <w:bCs/>
          <w:sz w:val="32"/>
          <w:szCs w:val="32"/>
          <w:highlight w:val="none"/>
        </w:rPr>
      </w:pPr>
      <w:r>
        <w:rPr>
          <w:rFonts w:hint="eastAsia" w:ascii="仿宋_GB2312" w:hAnsi="Arial" w:eastAsia="仿宋_GB2312" w:cs="Arial"/>
          <w:bCs/>
          <w:sz w:val="32"/>
          <w:szCs w:val="32"/>
          <w:highlight w:val="none"/>
          <w:lang w:val="en-US" w:eastAsia="zh-CN"/>
        </w:rPr>
        <w:t>本项目根据《北京市市对区促进学前教育发展专项转移支付资金管理办法》（京财教育〔2022〕1348号）、《北京市市级财政支持学前教育发展补助资金管理使用实施细则》（京财教育〔2023〕1782号），《海淀区促进学前教育发展提升资金支持办法》（海教发〔2023〕1号）、关于印发《海淀区促进学前教育发展提升资金支持办法实施细则》的通知（海教发〔2023〕2号），关于印发《北京市落实免费学前教育实施方案》的通知（京财教育〔2025〕1486号）、关于印发《海淀区落实免费学前教育管理办法》的通知（海教发〔2025〕12号）等政策文件设立。</w:t>
      </w:r>
    </w:p>
    <w:p w14:paraId="038F0652">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Arial" w:eastAsia="仿宋_GB2312" w:cs="Arial"/>
          <w:bCs/>
          <w:sz w:val="32"/>
          <w:szCs w:val="32"/>
          <w:highlight w:val="none"/>
          <w:lang w:val="en-US" w:eastAsia="zh-CN"/>
        </w:rPr>
      </w:pPr>
      <w:r>
        <w:rPr>
          <w:rFonts w:hint="eastAsia" w:ascii="仿宋_GB2312" w:hAnsi="Arial" w:eastAsia="仿宋_GB2312" w:cs="Arial"/>
          <w:bCs/>
          <w:sz w:val="32"/>
          <w:szCs w:val="32"/>
          <w:highlight w:val="none"/>
          <w:lang w:val="en-US" w:eastAsia="zh-CN"/>
        </w:rPr>
        <w:t>本项目紧扣海淀区教育发展“十四五”规划目标，旨在落实上述政策文件要求，通过财政资金的引导和激励，进一步扩大区域普惠性学前教育资源供给，完善经费保障机制，着力破解“入园难、入园贵”问题，全面提升区域各类幼儿园特别是普惠性幼儿园的办园质量与保障水平，构建更高质量、更具活力的海淀学前教育公共服务体系。</w:t>
      </w:r>
    </w:p>
    <w:p w14:paraId="5100EC17">
      <w:pPr>
        <w:numPr>
          <w:ilvl w:val="0"/>
          <w:numId w:val="0"/>
        </w:numPr>
        <w:overflowPunct w:val="0"/>
        <w:spacing w:line="560" w:lineRule="exact"/>
        <w:ind w:firstLine="640" w:firstLineChars="200"/>
        <w:rPr>
          <w:rFonts w:hint="eastAsia" w:ascii="仿宋_GB2312" w:hAnsi="Arial" w:eastAsia="仿宋_GB2312" w:cs="Arial"/>
          <w:bCs/>
          <w:sz w:val="32"/>
          <w:szCs w:val="32"/>
          <w:highlight w:val="none"/>
        </w:rPr>
      </w:pPr>
      <w:r>
        <w:rPr>
          <w:rFonts w:hint="eastAsia" w:ascii="仿宋_GB2312" w:hAnsi="Arial" w:eastAsia="仿宋_GB2312" w:cs="Arial"/>
          <w:bCs/>
          <w:kern w:val="2"/>
          <w:sz w:val="32"/>
          <w:szCs w:val="32"/>
          <w:highlight w:val="none"/>
          <w:lang w:val="en-US" w:eastAsia="zh-CN" w:bidi="ar-SA"/>
        </w:rPr>
        <w:t>2.</w:t>
      </w:r>
      <w:r>
        <w:rPr>
          <w:rFonts w:hint="eastAsia" w:ascii="仿宋_GB2312" w:hAnsi="Arial" w:eastAsia="仿宋_GB2312" w:cs="Arial"/>
          <w:bCs/>
          <w:sz w:val="32"/>
          <w:szCs w:val="32"/>
          <w:highlight w:val="none"/>
        </w:rPr>
        <w:t>项目实施主体</w:t>
      </w:r>
    </w:p>
    <w:p w14:paraId="1A41C8CE">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Arial" w:eastAsia="仿宋_GB2312" w:cs="Arial"/>
          <w:bCs/>
          <w:sz w:val="32"/>
          <w:szCs w:val="32"/>
          <w:highlight w:val="none"/>
          <w:lang w:val="en-US" w:eastAsia="zh-CN"/>
        </w:rPr>
      </w:pPr>
      <w:r>
        <w:rPr>
          <w:rFonts w:hint="eastAsia" w:ascii="仿宋_GB2312" w:hAnsi="Arial" w:eastAsia="仿宋_GB2312" w:cs="Arial"/>
          <w:bCs/>
          <w:sz w:val="32"/>
          <w:szCs w:val="32"/>
          <w:highlight w:val="none"/>
          <w:lang w:val="en-US" w:eastAsia="zh-CN"/>
        </w:rPr>
        <w:t>本项目由北京市海淀区教育委员会统一组织实施。</w:t>
      </w:r>
    </w:p>
    <w:p w14:paraId="3CFE6AFE">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Arial" w:eastAsia="仿宋_GB2312" w:cs="Arial"/>
          <w:bCs/>
          <w:sz w:val="32"/>
          <w:szCs w:val="32"/>
          <w:highlight w:val="none"/>
          <w:lang w:val="en-US" w:eastAsia="zh-CN"/>
        </w:rPr>
      </w:pPr>
      <w:r>
        <w:rPr>
          <w:rFonts w:hint="eastAsia" w:ascii="仿宋_GB2312" w:hAnsi="Arial" w:eastAsia="仿宋_GB2312" w:cs="Arial"/>
          <w:bCs/>
          <w:sz w:val="32"/>
          <w:szCs w:val="32"/>
          <w:highlight w:val="none"/>
          <w:lang w:val="en-US" w:eastAsia="zh-CN"/>
        </w:rPr>
        <w:t>具体执行部门包括区教委学前教育科、财务科及审计科。其中，学前教育科主要负责项目整体规划、方案制定、标准设定、审核认定及监督指导等工作；财务科主要负责补助资金的拨付与使用监管；审计科主要负责按照市级要求对专项资金进行审计。各类型幼儿园（包括教育部门办园、其他部门办园、集体办园及经认定的普惠性民办幼儿园）作为项目补助的直接受益对象和资金使用主体，严格按照规定将补助资金用于保育教育活动及改善办园条件等直接惠及在园幼儿的支出项目，确保专款专用，提升使用效益。</w:t>
      </w:r>
    </w:p>
    <w:p w14:paraId="2AB85294">
      <w:pPr>
        <w:overflowPunct w:val="0"/>
        <w:spacing w:line="560" w:lineRule="exact"/>
        <w:ind w:firstLine="640" w:firstLineChars="200"/>
        <w:rPr>
          <w:rFonts w:ascii="楷体_GB2312" w:hAnsi="Arial" w:eastAsia="楷体_GB2312" w:cs="Arial"/>
          <w:bCs/>
          <w:sz w:val="32"/>
          <w:szCs w:val="32"/>
          <w:highlight w:val="none"/>
        </w:rPr>
      </w:pPr>
      <w:r>
        <w:rPr>
          <w:rFonts w:hint="eastAsia" w:ascii="楷体_GB2312" w:hAnsi="Arial" w:eastAsia="楷体_GB2312" w:cs="Arial"/>
          <w:bCs/>
          <w:sz w:val="32"/>
          <w:szCs w:val="32"/>
          <w:highlight w:val="none"/>
        </w:rPr>
        <w:t>（二）项目主要内容及目标</w:t>
      </w:r>
    </w:p>
    <w:p w14:paraId="1C9B606C">
      <w:pPr>
        <w:overflowPunct w:val="0"/>
        <w:spacing w:line="560" w:lineRule="exact"/>
        <w:ind w:firstLine="640" w:firstLineChars="200"/>
        <w:rPr>
          <w:rFonts w:hint="eastAsia" w:ascii="仿宋_GB2312" w:hAnsi="Arial" w:eastAsia="仿宋_GB2312" w:cs="Arial"/>
          <w:bCs/>
          <w:sz w:val="32"/>
          <w:szCs w:val="32"/>
          <w:highlight w:val="none"/>
        </w:rPr>
      </w:pPr>
      <w:r>
        <w:rPr>
          <w:rFonts w:hint="eastAsia" w:ascii="仿宋_GB2312" w:hAnsi="Arial" w:eastAsia="仿宋_GB2312" w:cs="Arial"/>
          <w:bCs/>
          <w:sz w:val="32"/>
          <w:szCs w:val="32"/>
          <w:highlight w:val="none"/>
        </w:rPr>
        <w:t>1.项目主要内容</w:t>
      </w:r>
    </w:p>
    <w:p w14:paraId="5D814338">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Arial" w:eastAsia="仿宋_GB2312" w:cs="Arial"/>
          <w:bCs/>
          <w:sz w:val="32"/>
          <w:szCs w:val="32"/>
          <w:highlight w:val="none"/>
          <w:lang w:val="en-US" w:eastAsia="zh-CN"/>
        </w:rPr>
      </w:pPr>
      <w:r>
        <w:rPr>
          <w:rFonts w:hint="eastAsia" w:ascii="仿宋_GB2312" w:hAnsi="Arial" w:eastAsia="仿宋_GB2312" w:cs="Arial"/>
          <w:bCs/>
          <w:sz w:val="32"/>
          <w:szCs w:val="32"/>
          <w:highlight w:val="none"/>
          <w:lang w:val="en-US" w:eastAsia="zh-CN"/>
        </w:rPr>
        <w:t>本项目补助经费主要用于以下三个核心方向，以精准支持海淀区学前教育发展的关键环节：</w:t>
      </w:r>
    </w:p>
    <w:p w14:paraId="746B2182">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Arial" w:eastAsia="仿宋_GB2312" w:cs="Arial"/>
          <w:bCs/>
          <w:sz w:val="32"/>
          <w:szCs w:val="32"/>
          <w:highlight w:val="none"/>
          <w:lang w:val="en-US" w:eastAsia="zh-CN"/>
        </w:rPr>
      </w:pPr>
      <w:r>
        <w:rPr>
          <w:rFonts w:hint="eastAsia" w:ascii="仿宋_GB2312" w:hAnsi="Arial" w:eastAsia="仿宋_GB2312" w:cs="Arial"/>
          <w:bCs/>
          <w:sz w:val="32"/>
          <w:szCs w:val="32"/>
          <w:highlight w:val="none"/>
          <w:lang w:val="en-US" w:eastAsia="zh-CN"/>
        </w:rPr>
        <w:t>（1）生均定额补助：对符合海淀区普惠性幼儿园认定标准的各类幼儿园，依据其实际在园幼儿人数，给予生均定额补助。补助资金专项用于人员经费、公用经费及日常运行保障，旨在稳定普惠园所收费水平，保障普惠性幼儿园的常态化、高质量运转。</w:t>
      </w:r>
    </w:p>
    <w:p w14:paraId="4CD6D2E3">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Arial" w:eastAsia="仿宋_GB2312" w:cs="Arial"/>
          <w:bCs/>
          <w:sz w:val="32"/>
          <w:szCs w:val="32"/>
          <w:highlight w:val="none"/>
          <w:lang w:val="en-US" w:eastAsia="zh-CN"/>
        </w:rPr>
      </w:pPr>
      <w:r>
        <w:rPr>
          <w:rFonts w:hint="eastAsia" w:ascii="仿宋_GB2312" w:hAnsi="Arial" w:eastAsia="仿宋_GB2312" w:cs="Arial"/>
          <w:bCs/>
          <w:sz w:val="32"/>
          <w:szCs w:val="32"/>
          <w:highlight w:val="none"/>
          <w:lang w:val="en-US" w:eastAsia="zh-CN"/>
        </w:rPr>
        <w:t>（2）租金补助：根据《北京市“十四五”学前教育发展提升行动计划》，对符合条件的幼儿园租赁办园空间给予租金补助。</w:t>
      </w:r>
    </w:p>
    <w:p w14:paraId="7B715D8A">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Arial" w:eastAsia="仿宋_GB2312" w:cs="Arial"/>
          <w:bCs/>
          <w:sz w:val="32"/>
          <w:szCs w:val="32"/>
          <w:highlight w:val="none"/>
          <w:lang w:val="en-US" w:eastAsia="zh-CN"/>
        </w:rPr>
      </w:pPr>
      <w:r>
        <w:rPr>
          <w:rFonts w:hint="eastAsia" w:ascii="仿宋_GB2312" w:hAnsi="Arial" w:eastAsia="仿宋_GB2312" w:cs="Arial"/>
          <w:bCs/>
          <w:sz w:val="32"/>
          <w:szCs w:val="32"/>
          <w:highlight w:val="none"/>
          <w:lang w:val="en-US" w:eastAsia="zh-CN"/>
        </w:rPr>
        <w:t>（3）学前一年免费补助：公办幼儿园，按照区教委、区发改委批准的保育教育费收费标准免除；普惠性民办幼儿园，按照其与区教委约定的保育教育费收费标准免除；非普惠性民办幼儿园，按照750元/生·月的标准予以减免，高出减免水平的部分，幼儿园可以按规定继续向在园儿童家庭收取。</w:t>
      </w:r>
    </w:p>
    <w:p w14:paraId="72202865">
      <w:pPr>
        <w:overflowPunct w:val="0"/>
        <w:spacing w:line="56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2</w:t>
      </w:r>
      <w:r>
        <w:rPr>
          <w:rFonts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rPr>
        <w:t>项目绩效目标</w:t>
      </w:r>
    </w:p>
    <w:p w14:paraId="740DCFD5">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Arial" w:eastAsia="仿宋_GB2312" w:cs="Arial"/>
          <w:bCs/>
          <w:sz w:val="32"/>
          <w:szCs w:val="32"/>
          <w:highlight w:val="none"/>
        </w:rPr>
      </w:pPr>
      <w:r>
        <w:rPr>
          <w:rFonts w:hint="eastAsia" w:ascii="仿宋_GB2312" w:hAnsi="Arial" w:eastAsia="仿宋_GB2312" w:cs="Arial"/>
          <w:bCs/>
          <w:sz w:val="32"/>
          <w:szCs w:val="32"/>
          <w:highlight w:val="none"/>
        </w:rPr>
        <w:t>积极应对学龄人口变化，坚持公益普惠，保障普惠性幼儿园</w:t>
      </w:r>
      <w:r>
        <w:rPr>
          <w:rFonts w:hint="eastAsia" w:ascii="仿宋_GB2312" w:hAnsi="Arial" w:eastAsia="仿宋_GB2312" w:cs="Arial"/>
          <w:bCs/>
          <w:sz w:val="32"/>
          <w:szCs w:val="32"/>
          <w:highlight w:val="none"/>
          <w:lang w:val="en-US" w:eastAsia="zh-CN"/>
        </w:rPr>
        <w:t>平稳</w:t>
      </w:r>
      <w:r>
        <w:rPr>
          <w:rFonts w:hint="eastAsia" w:ascii="仿宋_GB2312" w:hAnsi="Arial" w:eastAsia="仿宋_GB2312" w:cs="Arial"/>
          <w:bCs/>
          <w:sz w:val="32"/>
          <w:szCs w:val="32"/>
          <w:highlight w:val="none"/>
        </w:rPr>
        <w:t>运转，提高幼儿园办园质量，</w:t>
      </w:r>
      <w:r>
        <w:rPr>
          <w:rFonts w:hint="eastAsia" w:ascii="仿宋_GB2312" w:hAnsi="Arial" w:eastAsia="仿宋_GB2312" w:cs="Arial"/>
          <w:bCs/>
          <w:sz w:val="32"/>
          <w:szCs w:val="32"/>
          <w:highlight w:val="none"/>
          <w:lang w:val="en-US" w:eastAsia="zh-CN"/>
        </w:rPr>
        <w:t>普惠性幼儿园覆盖率达到预定目标；</w:t>
      </w:r>
      <w:r>
        <w:rPr>
          <w:rFonts w:hint="eastAsia" w:ascii="仿宋_GB2312" w:hAnsi="Arial" w:eastAsia="仿宋_GB2312" w:cs="Arial"/>
          <w:bCs/>
          <w:sz w:val="32"/>
          <w:szCs w:val="32"/>
          <w:highlight w:val="none"/>
        </w:rPr>
        <w:t>落实免费学前教育政策，减免学前一年儿童保育教育费。</w:t>
      </w:r>
    </w:p>
    <w:p w14:paraId="36170AB7">
      <w:pPr>
        <w:overflowPunct w:val="0"/>
        <w:spacing w:line="560" w:lineRule="exact"/>
        <w:ind w:firstLine="640" w:firstLineChars="200"/>
        <w:rPr>
          <w:rFonts w:ascii="楷体_GB2312" w:hAnsi="Arial" w:eastAsia="楷体_GB2312" w:cs="Arial"/>
          <w:bCs/>
          <w:sz w:val="32"/>
          <w:szCs w:val="32"/>
          <w:highlight w:val="none"/>
        </w:rPr>
      </w:pPr>
      <w:r>
        <w:rPr>
          <w:rFonts w:hint="eastAsia" w:ascii="楷体_GB2312" w:hAnsi="Arial" w:eastAsia="楷体_GB2312" w:cs="Arial"/>
          <w:bCs/>
          <w:sz w:val="32"/>
          <w:szCs w:val="32"/>
          <w:highlight w:val="none"/>
        </w:rPr>
        <w:t>（三）项目资金情况</w:t>
      </w:r>
    </w:p>
    <w:p w14:paraId="656334DF">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Arial" w:eastAsia="仿宋_GB2312" w:cs="Arial"/>
          <w:bCs/>
          <w:sz w:val="32"/>
          <w:szCs w:val="32"/>
          <w:highlight w:val="none"/>
        </w:rPr>
      </w:pPr>
      <w:bookmarkStart w:id="7" w:name="_Toc107562452"/>
      <w:r>
        <w:rPr>
          <w:rFonts w:hint="eastAsia" w:ascii="仿宋_GB2312" w:hAnsi="Arial" w:eastAsia="仿宋_GB2312" w:cs="Arial"/>
          <w:bCs/>
          <w:sz w:val="32"/>
          <w:szCs w:val="32"/>
          <w:highlight w:val="none"/>
        </w:rPr>
        <w:t>2025年，支持学前教育发展补助经费资金共下达我区92,747.35万元，其中中央资金4,003万元，市级资金53,022.65万元，区级配套资金35,721.70万元。</w:t>
      </w:r>
    </w:p>
    <w:p w14:paraId="13B5FAF2">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Arial" w:eastAsia="仿宋_GB2312" w:cs="Arial"/>
          <w:bCs/>
          <w:sz w:val="32"/>
          <w:szCs w:val="32"/>
          <w:highlight w:val="none"/>
        </w:rPr>
      </w:pPr>
      <w:r>
        <w:rPr>
          <w:rFonts w:hint="eastAsia" w:ascii="仿宋_GB2312" w:hAnsi="Arial" w:eastAsia="仿宋_GB2312" w:cs="Arial"/>
          <w:bCs/>
          <w:sz w:val="32"/>
          <w:szCs w:val="32"/>
          <w:highlight w:val="none"/>
        </w:rPr>
        <w:t>截至2025年12月底，支持学前教育发展补助经费资金共支出92,649.25万元，其中中央资金4,003万元，市级资金52,952.15万元，区级配套资金35,694.10万元。主要用于普惠性幼儿园生均定额及租金补助85,078.9万元、用于学前一年免费补助7,570.35万元。</w:t>
      </w:r>
    </w:p>
    <w:p w14:paraId="0CC5269D">
      <w:pPr>
        <w:overflowPunct w:val="0"/>
        <w:spacing w:line="560" w:lineRule="exact"/>
        <w:ind w:firstLine="640" w:firstLineChars="200"/>
        <w:rPr>
          <w:rFonts w:ascii="楷体_GB2312" w:hAnsi="Arial" w:eastAsia="楷体_GB2312" w:cs="Arial"/>
          <w:bCs/>
          <w:sz w:val="32"/>
          <w:szCs w:val="32"/>
          <w:highlight w:val="none"/>
        </w:rPr>
      </w:pPr>
      <w:r>
        <w:rPr>
          <w:rFonts w:hint="eastAsia" w:ascii="楷体_GB2312" w:hAnsi="Arial" w:eastAsia="楷体_GB2312" w:cs="Arial"/>
          <w:bCs/>
          <w:sz w:val="32"/>
          <w:szCs w:val="32"/>
          <w:highlight w:val="none"/>
        </w:rPr>
        <w:t>（四）项目实施情况</w:t>
      </w:r>
    </w:p>
    <w:p w14:paraId="2164F7C8">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本项目严格依据相关文件要求组织实施，具体情况如下：</w:t>
      </w:r>
    </w:p>
    <w:p w14:paraId="226C1007">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1.</w:t>
      </w:r>
      <w:r>
        <w:rPr>
          <w:rFonts w:hint="eastAsia" w:ascii="仿宋_GB2312" w:eastAsia="仿宋_GB2312"/>
          <w:sz w:val="32"/>
          <w:szCs w:val="32"/>
          <w:highlight w:val="none"/>
          <w:lang w:val="en-US" w:eastAsia="zh-CN"/>
        </w:rPr>
        <w:t>补助对象</w:t>
      </w:r>
      <w:r>
        <w:rPr>
          <w:rFonts w:hint="eastAsia" w:ascii="仿宋_GB2312" w:eastAsia="仿宋_GB2312"/>
          <w:sz w:val="32"/>
          <w:szCs w:val="32"/>
          <w:highlight w:val="none"/>
        </w:rPr>
        <w:t>情况</w:t>
      </w:r>
    </w:p>
    <w:p w14:paraId="650B6DB2">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本项目的补助对象为海淀区范围内经认定且符合补助条件的各类普惠性幼儿园，包括教育部门办园、其他部门办园、集体办园及普惠性民办幼儿园。区教委严格按照相关认定标准和管理办法，对申请纳入补助范围的幼儿园进行资质审核与动态管理，确保补助对象资质合规、程序规范。</w:t>
      </w:r>
    </w:p>
    <w:p w14:paraId="39605900">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2.资金使用流程</w:t>
      </w:r>
    </w:p>
    <w:p w14:paraId="5FB24DDA">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区教委学前教育科根据各普惠性幼儿园在园幼儿人数、办园等级、补助标准等因素制定资金分配方案，经财务</w:t>
      </w:r>
      <w:r>
        <w:rPr>
          <w:rFonts w:hint="eastAsia" w:ascii="仿宋_GB2312" w:eastAsia="仿宋_GB2312"/>
          <w:sz w:val="32"/>
          <w:szCs w:val="32"/>
          <w:highlight w:val="none"/>
          <w:lang w:val="en-US" w:eastAsia="zh-CN"/>
        </w:rPr>
        <w:t>科</w:t>
      </w:r>
      <w:r>
        <w:rPr>
          <w:rFonts w:hint="eastAsia" w:ascii="仿宋_GB2312" w:eastAsia="仿宋_GB2312"/>
          <w:sz w:val="32"/>
          <w:szCs w:val="32"/>
          <w:highlight w:val="none"/>
        </w:rPr>
        <w:t>审核后，将资金拨付至各幼儿园账户。各幼儿园按规定的支出范围使用资金。</w:t>
      </w:r>
    </w:p>
    <w:p w14:paraId="5710CABD">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3.实施项目管理情况</w:t>
      </w:r>
    </w:p>
    <w:p w14:paraId="2EA787D6">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区教委建立“专账管理、闭环监管”体系，对项目实行全过程管理。在预算环节，加强绩效目标管理，将绩效指标与预算安排挂钩；在执行环节，通过专项审计方式对资金使用情况进行跟踪监控，实现全区普惠园资金使用核查全覆盖。</w:t>
      </w:r>
    </w:p>
    <w:p w14:paraId="017D3531">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4.项目验收及结算审核情况</w:t>
      </w:r>
    </w:p>
    <w:p w14:paraId="747A1C16">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经核查</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2025年度项目资金结算截至12月底，区教委</w:t>
      </w:r>
      <w:r>
        <w:rPr>
          <w:rFonts w:hint="eastAsia" w:ascii="仿宋_GB2312" w:eastAsia="仿宋_GB2312"/>
          <w:sz w:val="32"/>
          <w:szCs w:val="32"/>
          <w:highlight w:val="none"/>
          <w:lang w:val="en-US" w:eastAsia="zh-CN"/>
        </w:rPr>
        <w:t>已完成资金拨付。其中</w:t>
      </w:r>
      <w:r>
        <w:rPr>
          <w:rFonts w:hint="eastAsia" w:ascii="仿宋_GB2312" w:eastAsia="仿宋_GB2312"/>
          <w:sz w:val="32"/>
          <w:szCs w:val="32"/>
          <w:highlight w:val="none"/>
        </w:rPr>
        <w:t>中央资金4,003万元、市级资金52,952.15万元、区级配套资金35,694.10万元。</w:t>
      </w:r>
    </w:p>
    <w:p w14:paraId="56A36039">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5.项目实施进度</w:t>
      </w:r>
    </w:p>
    <w:p w14:paraId="7006FE5B">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rPr>
        <w:t>项目严格按照年度计划有序推进。2025年初完成资金预算编制与分配方案制定，一季度启动资金拨付程序并下达首批补助资金，年中根据春季学期在园幼儿人数完成学期结算拨付，秋季学期开学后及时核定新增幼儿人数并拨付相应补助。截至12月底，全年补助资金拨付完毕，预算执行率达99.9%，各项绩效目标全面完成。</w:t>
      </w:r>
    </w:p>
    <w:p w14:paraId="2ED8575D">
      <w:pPr>
        <w:overflowPunct w:val="0"/>
        <w:spacing w:line="56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二、绩效自评工作开展情况</w:t>
      </w:r>
      <w:bookmarkEnd w:id="7"/>
    </w:p>
    <w:p w14:paraId="118F9745">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宋体" w:eastAsia="仿宋_GB2312" w:cs="宋体"/>
          <w:color w:val="000000"/>
          <w:kern w:val="0"/>
          <w:sz w:val="32"/>
          <w:szCs w:val="32"/>
          <w:highlight w:val="none"/>
          <w:lang w:eastAsia="zh-CN"/>
        </w:rPr>
      </w:pPr>
      <w:r>
        <w:rPr>
          <w:rFonts w:hint="eastAsia" w:ascii="仿宋_GB2312" w:hAnsi="宋体" w:eastAsia="仿宋_GB2312" w:cs="宋体"/>
          <w:color w:val="000000"/>
          <w:kern w:val="0"/>
          <w:sz w:val="32"/>
          <w:szCs w:val="32"/>
          <w:highlight w:val="none"/>
        </w:rPr>
        <w:t>本项目依据项目资料，采取定性与定量相结合的方式，采用目标预定与实施效果比较等方法，从项目决策、项目过程、项目产出、项目效益4个方面对本项目开展绩效自评。</w:t>
      </w:r>
      <w:bookmarkStart w:id="8" w:name="_Toc107562456"/>
      <w:r>
        <w:rPr>
          <w:rFonts w:hint="eastAsia" w:ascii="仿宋_GB2312" w:hAnsi="宋体" w:eastAsia="仿宋_GB2312" w:cs="宋体"/>
          <w:color w:val="000000"/>
          <w:kern w:val="0"/>
          <w:sz w:val="32"/>
          <w:szCs w:val="32"/>
          <w:highlight w:val="none"/>
        </w:rPr>
        <w:t>自评工作组按照“收集整理资料—对照指标打分—综合分析评价—撰写自评报告”的步骤推进工作。在决策评价方面，重点审核项目立项依据、绩效目标设定和资金分配方案的科学性与合理性；在过程评价方面，聚焦资金到位率、拨付及时性、管理制度健全性和执行有效性；在产出评价方面，核实入园率、普惠覆盖率、免保教费人数等核心指标的完成情况；在效益评价方面，综合评估项目的社会效益和满意度指标达成情况。</w:t>
      </w:r>
    </w:p>
    <w:p w14:paraId="1EDA7A51">
      <w:pPr>
        <w:overflowPunct w:val="0"/>
        <w:spacing w:line="56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三、综合自评情况及结论</w:t>
      </w:r>
      <w:bookmarkEnd w:id="8"/>
    </w:p>
    <w:p w14:paraId="14BE53C4">
      <w:pPr>
        <w:overflowPunct w:val="0"/>
        <w:spacing w:line="560" w:lineRule="exact"/>
        <w:ind w:firstLine="640" w:firstLineChars="200"/>
        <w:rPr>
          <w:rFonts w:hint="eastAsia" w:ascii="仿宋_GB2312" w:hAnsi="仿宋_GB2312" w:eastAsia="仿宋_GB2312" w:cs="仿宋_GB2312"/>
          <w:kern w:val="44"/>
          <w:sz w:val="32"/>
          <w:szCs w:val="32"/>
          <w:highlight w:val="none"/>
        </w:rPr>
      </w:pPr>
      <w:r>
        <w:rPr>
          <w:rFonts w:hint="eastAsia" w:ascii="仿宋_GB2312" w:hAnsi="仿宋_GB2312" w:eastAsia="仿宋_GB2312" w:cs="仿宋_GB2312"/>
          <w:kern w:val="44"/>
          <w:sz w:val="32"/>
          <w:szCs w:val="32"/>
          <w:highlight w:val="none"/>
        </w:rPr>
        <w:t>该项目自评得分</w:t>
      </w:r>
      <w:r>
        <w:rPr>
          <w:rFonts w:hint="eastAsia" w:ascii="仿宋_GB2312" w:hAnsi="仿宋_GB2312" w:eastAsia="仿宋_GB2312" w:cs="仿宋_GB2312"/>
          <w:kern w:val="44"/>
          <w:sz w:val="32"/>
          <w:szCs w:val="32"/>
          <w:highlight w:val="none"/>
          <w:lang w:val="en-US" w:eastAsia="zh-CN"/>
        </w:rPr>
        <w:t>99.99</w:t>
      </w:r>
      <w:r>
        <w:rPr>
          <w:rFonts w:hint="eastAsia" w:ascii="仿宋_GB2312" w:hAnsi="仿宋_GB2312" w:eastAsia="仿宋_GB2312" w:cs="仿宋_GB2312"/>
          <w:kern w:val="44"/>
          <w:sz w:val="32"/>
          <w:szCs w:val="32"/>
          <w:highlight w:val="none"/>
        </w:rPr>
        <w:t>分，级别为“</w:t>
      </w:r>
      <w:r>
        <w:rPr>
          <w:rFonts w:hint="eastAsia" w:ascii="仿宋_GB2312" w:hAnsi="仿宋_GB2312" w:eastAsia="仿宋_GB2312" w:cs="仿宋_GB2312"/>
          <w:kern w:val="44"/>
          <w:sz w:val="32"/>
          <w:szCs w:val="32"/>
          <w:highlight w:val="none"/>
          <w:lang w:val="en-US" w:eastAsia="zh-CN"/>
        </w:rPr>
        <w:t>优秀</w:t>
      </w:r>
      <w:r>
        <w:rPr>
          <w:rFonts w:hint="eastAsia" w:ascii="仿宋_GB2312" w:hAnsi="仿宋_GB2312" w:eastAsia="仿宋_GB2312" w:cs="仿宋_GB2312"/>
          <w:kern w:val="44"/>
          <w:sz w:val="32"/>
          <w:szCs w:val="32"/>
          <w:highlight w:val="none"/>
        </w:rPr>
        <w:t>”。其中，项目决策得分为</w:t>
      </w:r>
      <w:r>
        <w:rPr>
          <w:rFonts w:hint="eastAsia" w:ascii="仿宋_GB2312" w:hAnsi="仿宋_GB2312" w:eastAsia="仿宋_GB2312" w:cs="仿宋_GB2312"/>
          <w:kern w:val="44"/>
          <w:sz w:val="32"/>
          <w:szCs w:val="32"/>
          <w:highlight w:val="none"/>
          <w:lang w:val="en-US" w:eastAsia="zh-CN"/>
        </w:rPr>
        <w:t>10</w:t>
      </w:r>
      <w:r>
        <w:rPr>
          <w:rFonts w:hint="eastAsia" w:ascii="仿宋_GB2312" w:hAnsi="仿宋_GB2312" w:eastAsia="仿宋_GB2312" w:cs="仿宋_GB2312"/>
          <w:kern w:val="44"/>
          <w:sz w:val="32"/>
          <w:szCs w:val="32"/>
          <w:highlight w:val="none"/>
        </w:rPr>
        <w:t>分、项目过程得分为</w:t>
      </w:r>
      <w:r>
        <w:rPr>
          <w:rFonts w:hint="eastAsia" w:ascii="仿宋_GB2312" w:hAnsi="仿宋_GB2312" w:eastAsia="仿宋_GB2312" w:cs="仿宋_GB2312"/>
          <w:kern w:val="44"/>
          <w:sz w:val="32"/>
          <w:szCs w:val="32"/>
          <w:highlight w:val="none"/>
          <w:lang w:val="en-US" w:eastAsia="zh-CN"/>
        </w:rPr>
        <w:t>19.99</w:t>
      </w:r>
      <w:r>
        <w:rPr>
          <w:rFonts w:hint="eastAsia" w:ascii="仿宋_GB2312" w:hAnsi="仿宋_GB2312" w:eastAsia="仿宋_GB2312" w:cs="仿宋_GB2312"/>
          <w:kern w:val="44"/>
          <w:sz w:val="32"/>
          <w:szCs w:val="32"/>
          <w:highlight w:val="none"/>
        </w:rPr>
        <w:t>分、</w:t>
      </w:r>
      <w:r>
        <w:rPr>
          <w:rFonts w:hint="eastAsia" w:ascii="仿宋_GB2312" w:hAnsi="Arial" w:eastAsia="仿宋_GB2312" w:cs="Arial"/>
          <w:bCs/>
          <w:sz w:val="32"/>
          <w:szCs w:val="32"/>
          <w:highlight w:val="none"/>
        </w:rPr>
        <w:t>项目</w:t>
      </w:r>
      <w:r>
        <w:rPr>
          <w:rFonts w:hint="eastAsia" w:ascii="仿宋_GB2312" w:hAnsi="仿宋_GB2312" w:eastAsia="仿宋_GB2312" w:cs="仿宋_GB2312"/>
          <w:kern w:val="44"/>
          <w:sz w:val="32"/>
          <w:szCs w:val="32"/>
          <w:highlight w:val="none"/>
        </w:rPr>
        <w:t>产出得分为</w:t>
      </w:r>
      <w:r>
        <w:rPr>
          <w:rFonts w:hint="eastAsia" w:ascii="仿宋_GB2312" w:hAnsi="仿宋_GB2312" w:eastAsia="仿宋_GB2312" w:cs="仿宋_GB2312"/>
          <w:kern w:val="44"/>
          <w:sz w:val="32"/>
          <w:szCs w:val="32"/>
          <w:highlight w:val="none"/>
          <w:lang w:val="en-US" w:eastAsia="zh-CN"/>
        </w:rPr>
        <w:t>40</w:t>
      </w:r>
      <w:r>
        <w:rPr>
          <w:rFonts w:hint="eastAsia" w:ascii="仿宋_GB2312" w:hAnsi="仿宋_GB2312" w:eastAsia="仿宋_GB2312" w:cs="仿宋_GB2312"/>
          <w:kern w:val="44"/>
          <w:sz w:val="32"/>
          <w:szCs w:val="32"/>
          <w:highlight w:val="none"/>
        </w:rPr>
        <w:t>分、项目效益得分为</w:t>
      </w:r>
      <w:r>
        <w:rPr>
          <w:rFonts w:hint="eastAsia" w:ascii="仿宋_GB2312" w:hAnsi="仿宋_GB2312" w:eastAsia="仿宋_GB2312" w:cs="仿宋_GB2312"/>
          <w:kern w:val="44"/>
          <w:sz w:val="32"/>
          <w:szCs w:val="32"/>
          <w:highlight w:val="none"/>
          <w:lang w:val="en-US" w:eastAsia="zh-CN"/>
        </w:rPr>
        <w:t>30</w:t>
      </w:r>
      <w:r>
        <w:rPr>
          <w:rFonts w:hint="eastAsia" w:ascii="仿宋_GB2312" w:hAnsi="仿宋_GB2312" w:eastAsia="仿宋_GB2312" w:cs="仿宋_GB2312"/>
          <w:kern w:val="44"/>
          <w:sz w:val="32"/>
          <w:szCs w:val="32"/>
          <w:highlight w:val="none"/>
        </w:rPr>
        <w:t>分。</w:t>
      </w:r>
    </w:p>
    <w:p w14:paraId="52F311EE">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仿宋_GB2312" w:eastAsia="仿宋_GB2312" w:cs="仿宋_GB2312"/>
          <w:kern w:val="44"/>
          <w:sz w:val="32"/>
          <w:szCs w:val="32"/>
          <w:highlight w:val="none"/>
        </w:rPr>
      </w:pPr>
      <w:r>
        <w:rPr>
          <w:rFonts w:hint="eastAsia" w:ascii="仿宋_GB2312" w:hAnsi="仿宋_GB2312" w:eastAsia="仿宋_GB2312" w:cs="仿宋_GB2312"/>
          <w:kern w:val="44"/>
          <w:sz w:val="32"/>
          <w:szCs w:val="32"/>
          <w:highlight w:val="none"/>
        </w:rPr>
        <w:t>2025年，海淀区“支持学前教育发展补助经费资金项目”整体执行规范、成效显著。项目资金拨付及时、使用合规，全区普惠性幼儿园运转得到有力保障，学前一年免费政策全面落实，办园质量持续提升，入园率和普惠覆盖率均超额完成年度目标，幼儿园及家长满意度达95%，社会效益显著。</w:t>
      </w:r>
    </w:p>
    <w:p w14:paraId="78EB99B1">
      <w:pPr>
        <w:overflowPunct w:val="0"/>
        <w:spacing w:line="560" w:lineRule="exact"/>
        <w:ind w:firstLine="640" w:firstLineChars="200"/>
        <w:rPr>
          <w:rFonts w:ascii="黑体" w:hAnsi="黑体" w:eastAsia="黑体"/>
          <w:sz w:val="32"/>
          <w:szCs w:val="32"/>
          <w:highlight w:val="none"/>
        </w:rPr>
      </w:pPr>
      <w:bookmarkStart w:id="9" w:name="_Toc107562457"/>
      <w:r>
        <w:rPr>
          <w:rFonts w:hint="eastAsia" w:ascii="黑体" w:hAnsi="黑体" w:eastAsia="黑体"/>
          <w:sz w:val="32"/>
          <w:szCs w:val="32"/>
          <w:highlight w:val="none"/>
        </w:rPr>
        <w:t>四、</w:t>
      </w:r>
      <w:bookmarkEnd w:id="9"/>
      <w:r>
        <w:rPr>
          <w:rFonts w:hint="eastAsia" w:ascii="黑体" w:hAnsi="黑体" w:eastAsia="黑体"/>
          <w:sz w:val="32"/>
          <w:szCs w:val="32"/>
          <w:highlight w:val="none"/>
        </w:rPr>
        <w:t>项目产出及效益情况</w:t>
      </w:r>
    </w:p>
    <w:p w14:paraId="156648E3">
      <w:pPr>
        <w:overflowPunct w:val="0"/>
        <w:spacing w:line="560" w:lineRule="exact"/>
        <w:ind w:firstLine="640" w:firstLineChars="200"/>
        <w:rPr>
          <w:rFonts w:hint="eastAsia" w:ascii="楷体_GB2312" w:hAnsi="Arial" w:eastAsia="楷体_GB2312" w:cs="Arial"/>
          <w:bCs/>
          <w:sz w:val="32"/>
          <w:szCs w:val="32"/>
          <w:highlight w:val="none"/>
        </w:rPr>
      </w:pPr>
      <w:r>
        <w:rPr>
          <w:rFonts w:hint="eastAsia" w:ascii="楷体_GB2312" w:hAnsi="Arial" w:eastAsia="楷体_GB2312" w:cs="Arial"/>
          <w:bCs/>
          <w:sz w:val="32"/>
          <w:szCs w:val="32"/>
          <w:highlight w:val="none"/>
        </w:rPr>
        <w:t>（一）产出</w:t>
      </w:r>
    </w:p>
    <w:p w14:paraId="4024FFA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rPr>
        <w:t>根据项目情况，将产出指标分解为二级数量指标和质量指标</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lang w:val="en-US" w:eastAsia="zh-CN"/>
        </w:rPr>
        <w:t>其中数量指标分为儿童入园率、普惠性幼儿园覆盖率、享受免保教费儿童人数、普惠性幼儿园生均定额市级补助标准；质量指标为幼儿园办园质量。2025年我区普惠性幼儿园覆盖率达94%，享受免保教费儿童人数达23784人，幼儿园办学质量得到显著提升。</w:t>
      </w:r>
    </w:p>
    <w:p w14:paraId="3950BE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黑体" w:eastAsia="仿宋_GB2312"/>
          <w:sz w:val="32"/>
          <w:szCs w:val="32"/>
          <w:highlight w:val="none"/>
          <w:lang w:val="en-US" w:eastAsia="zh-CN"/>
        </w:rPr>
      </w:pPr>
    </w:p>
    <w:tbl>
      <w:tblPr>
        <w:tblStyle w:val="12"/>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2"/>
        <w:gridCol w:w="1242"/>
        <w:gridCol w:w="2635"/>
        <w:gridCol w:w="1499"/>
        <w:gridCol w:w="1904"/>
      </w:tblGrid>
      <w:tr w14:paraId="1A67D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242" w:type="dxa"/>
            <w:tcBorders>
              <w:top w:val="nil"/>
              <w:left w:val="nil"/>
              <w:bottom w:val="single" w:color="000000" w:sz="4" w:space="0"/>
              <w:right w:val="single" w:color="000000" w:sz="4" w:space="0"/>
            </w:tcBorders>
            <w:shd w:val="clear" w:color="auto" w:fill="auto"/>
            <w:vAlign w:val="center"/>
          </w:tcPr>
          <w:p w14:paraId="7D45724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一级指标</w:t>
            </w:r>
          </w:p>
        </w:tc>
        <w:tc>
          <w:tcPr>
            <w:tcW w:w="1242" w:type="dxa"/>
            <w:tcBorders>
              <w:top w:val="nil"/>
              <w:left w:val="nil"/>
              <w:bottom w:val="single" w:color="000000" w:sz="4" w:space="0"/>
              <w:right w:val="single" w:color="000000" w:sz="4" w:space="0"/>
            </w:tcBorders>
            <w:shd w:val="clear" w:color="auto" w:fill="auto"/>
            <w:vAlign w:val="center"/>
          </w:tcPr>
          <w:p w14:paraId="06E72E1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二级指标</w:t>
            </w:r>
          </w:p>
        </w:tc>
        <w:tc>
          <w:tcPr>
            <w:tcW w:w="2635" w:type="dxa"/>
            <w:tcBorders>
              <w:top w:val="nil"/>
              <w:left w:val="nil"/>
              <w:bottom w:val="single" w:color="000000" w:sz="4" w:space="0"/>
              <w:right w:val="single" w:color="000000" w:sz="4" w:space="0"/>
            </w:tcBorders>
            <w:shd w:val="clear" w:color="auto" w:fill="auto"/>
            <w:vAlign w:val="center"/>
          </w:tcPr>
          <w:p w14:paraId="3407306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三级指标</w:t>
            </w:r>
          </w:p>
        </w:tc>
        <w:tc>
          <w:tcPr>
            <w:tcW w:w="1499" w:type="dxa"/>
            <w:tcBorders>
              <w:top w:val="nil"/>
              <w:left w:val="nil"/>
              <w:bottom w:val="single" w:color="000000" w:sz="4" w:space="0"/>
              <w:right w:val="single" w:color="000000" w:sz="4" w:space="0"/>
            </w:tcBorders>
            <w:shd w:val="clear" w:color="auto" w:fill="auto"/>
            <w:vAlign w:val="center"/>
          </w:tcPr>
          <w:p w14:paraId="66B85D7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指标值</w:t>
            </w:r>
          </w:p>
        </w:tc>
        <w:tc>
          <w:tcPr>
            <w:tcW w:w="1904" w:type="dxa"/>
            <w:tcBorders>
              <w:top w:val="nil"/>
              <w:left w:val="nil"/>
              <w:bottom w:val="single" w:color="000000" w:sz="4" w:space="0"/>
              <w:right w:val="single" w:color="000000" w:sz="4" w:space="0"/>
            </w:tcBorders>
            <w:shd w:val="clear" w:color="auto" w:fill="auto"/>
            <w:vAlign w:val="center"/>
          </w:tcPr>
          <w:p w14:paraId="245F05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全年实际完成值</w:t>
            </w:r>
          </w:p>
        </w:tc>
      </w:tr>
      <w:tr w14:paraId="54AF8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42" w:type="dxa"/>
            <w:vMerge w:val="restart"/>
            <w:tcBorders>
              <w:top w:val="nil"/>
              <w:left w:val="nil"/>
              <w:right w:val="single" w:color="000000" w:sz="4" w:space="0"/>
            </w:tcBorders>
            <w:shd w:val="clear" w:color="auto" w:fill="auto"/>
            <w:vAlign w:val="center"/>
          </w:tcPr>
          <w:p w14:paraId="7FFE386D">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产出指标</w:t>
            </w:r>
          </w:p>
        </w:tc>
        <w:tc>
          <w:tcPr>
            <w:tcW w:w="1242" w:type="dxa"/>
            <w:vMerge w:val="restart"/>
            <w:tcBorders>
              <w:top w:val="nil"/>
              <w:left w:val="nil"/>
              <w:right w:val="single" w:color="000000" w:sz="4" w:space="0"/>
            </w:tcBorders>
            <w:shd w:val="clear" w:color="auto" w:fill="auto"/>
            <w:vAlign w:val="center"/>
          </w:tcPr>
          <w:p w14:paraId="1F5E829A">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数量指标</w:t>
            </w:r>
          </w:p>
        </w:tc>
        <w:tc>
          <w:tcPr>
            <w:tcW w:w="2635" w:type="dxa"/>
            <w:tcBorders>
              <w:top w:val="nil"/>
              <w:left w:val="nil"/>
              <w:bottom w:val="single" w:color="000000" w:sz="4" w:space="0"/>
              <w:right w:val="single" w:color="000000" w:sz="4" w:space="0"/>
            </w:tcBorders>
            <w:shd w:val="clear" w:color="auto" w:fill="auto"/>
            <w:vAlign w:val="center"/>
          </w:tcPr>
          <w:p w14:paraId="60C3822A">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入园率</w:t>
            </w:r>
          </w:p>
        </w:tc>
        <w:tc>
          <w:tcPr>
            <w:tcW w:w="1499" w:type="dxa"/>
            <w:tcBorders>
              <w:top w:val="nil"/>
              <w:left w:val="nil"/>
              <w:bottom w:val="single" w:color="000000" w:sz="4" w:space="0"/>
              <w:right w:val="single" w:color="000000" w:sz="4" w:space="0"/>
            </w:tcBorders>
            <w:shd w:val="clear" w:color="auto" w:fill="auto"/>
            <w:vAlign w:val="center"/>
          </w:tcPr>
          <w:p w14:paraId="3A1E30C7">
            <w:pPr>
              <w:keepNext w:val="0"/>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≥91%</w:t>
            </w:r>
          </w:p>
        </w:tc>
        <w:tc>
          <w:tcPr>
            <w:tcW w:w="1904" w:type="dxa"/>
            <w:tcBorders>
              <w:top w:val="nil"/>
              <w:left w:val="nil"/>
              <w:bottom w:val="single" w:color="000000" w:sz="4" w:space="0"/>
              <w:right w:val="single" w:color="000000" w:sz="4" w:space="0"/>
            </w:tcBorders>
            <w:shd w:val="clear" w:color="auto" w:fill="auto"/>
            <w:vAlign w:val="center"/>
          </w:tcPr>
          <w:p w14:paraId="4ACFB76C">
            <w:pPr>
              <w:keepNext w:val="0"/>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95%</w:t>
            </w:r>
          </w:p>
        </w:tc>
      </w:tr>
      <w:tr w14:paraId="5F1A8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42" w:type="dxa"/>
            <w:vMerge w:val="continue"/>
            <w:tcBorders>
              <w:left w:val="nil"/>
              <w:right w:val="single" w:color="000000" w:sz="4" w:space="0"/>
            </w:tcBorders>
            <w:shd w:val="clear" w:color="auto" w:fill="auto"/>
            <w:vAlign w:val="center"/>
          </w:tcPr>
          <w:p w14:paraId="5CC781B9">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1242" w:type="dxa"/>
            <w:vMerge w:val="continue"/>
            <w:tcBorders>
              <w:left w:val="nil"/>
              <w:right w:val="single" w:color="000000" w:sz="4" w:space="0"/>
            </w:tcBorders>
            <w:shd w:val="clear" w:color="auto" w:fill="auto"/>
            <w:vAlign w:val="center"/>
          </w:tcPr>
          <w:p w14:paraId="6A4C8C07">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2635" w:type="dxa"/>
            <w:tcBorders>
              <w:top w:val="nil"/>
              <w:left w:val="nil"/>
              <w:bottom w:val="single" w:color="000000" w:sz="4" w:space="0"/>
              <w:right w:val="single" w:color="000000" w:sz="4" w:space="0"/>
            </w:tcBorders>
            <w:shd w:val="clear" w:color="auto" w:fill="auto"/>
            <w:vAlign w:val="center"/>
          </w:tcPr>
          <w:p w14:paraId="065E2856">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普惠性幼儿园覆盖率</w:t>
            </w:r>
          </w:p>
        </w:tc>
        <w:tc>
          <w:tcPr>
            <w:tcW w:w="1499" w:type="dxa"/>
            <w:tcBorders>
              <w:top w:val="nil"/>
              <w:left w:val="nil"/>
              <w:bottom w:val="single" w:color="000000" w:sz="4" w:space="0"/>
              <w:right w:val="single" w:color="000000" w:sz="4" w:space="0"/>
            </w:tcBorders>
            <w:shd w:val="clear" w:color="auto" w:fill="auto"/>
            <w:vAlign w:val="center"/>
          </w:tcPr>
          <w:p w14:paraId="26E93B9D">
            <w:pPr>
              <w:keepNext w:val="0"/>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≥92%</w:t>
            </w:r>
          </w:p>
        </w:tc>
        <w:tc>
          <w:tcPr>
            <w:tcW w:w="1904" w:type="dxa"/>
            <w:tcBorders>
              <w:top w:val="nil"/>
              <w:left w:val="nil"/>
              <w:bottom w:val="single" w:color="000000" w:sz="4" w:space="0"/>
              <w:right w:val="single" w:color="000000" w:sz="4" w:space="0"/>
            </w:tcBorders>
            <w:shd w:val="clear" w:color="auto" w:fill="auto"/>
            <w:vAlign w:val="center"/>
          </w:tcPr>
          <w:p w14:paraId="07429112">
            <w:pPr>
              <w:keepNext w:val="0"/>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94%</w:t>
            </w:r>
          </w:p>
        </w:tc>
      </w:tr>
      <w:tr w14:paraId="5BE0F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42" w:type="dxa"/>
            <w:vMerge w:val="continue"/>
            <w:tcBorders>
              <w:left w:val="nil"/>
              <w:right w:val="single" w:color="000000" w:sz="4" w:space="0"/>
            </w:tcBorders>
            <w:shd w:val="clear" w:color="auto" w:fill="auto"/>
            <w:vAlign w:val="center"/>
          </w:tcPr>
          <w:p w14:paraId="4ABEAE0F">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1242" w:type="dxa"/>
            <w:vMerge w:val="continue"/>
            <w:tcBorders>
              <w:left w:val="nil"/>
              <w:right w:val="single" w:color="000000" w:sz="4" w:space="0"/>
            </w:tcBorders>
            <w:shd w:val="clear" w:color="auto" w:fill="auto"/>
            <w:vAlign w:val="center"/>
          </w:tcPr>
          <w:p w14:paraId="1D1FC70B">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2635" w:type="dxa"/>
            <w:tcBorders>
              <w:top w:val="nil"/>
              <w:left w:val="nil"/>
              <w:bottom w:val="single" w:color="000000" w:sz="4" w:space="0"/>
              <w:right w:val="single" w:color="000000" w:sz="4" w:space="0"/>
            </w:tcBorders>
            <w:shd w:val="clear" w:color="auto" w:fill="auto"/>
            <w:vAlign w:val="center"/>
          </w:tcPr>
          <w:p w14:paraId="27D65322">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享受免保教费儿童人数</w:t>
            </w:r>
          </w:p>
        </w:tc>
        <w:tc>
          <w:tcPr>
            <w:tcW w:w="1499" w:type="dxa"/>
            <w:tcBorders>
              <w:top w:val="nil"/>
              <w:left w:val="nil"/>
              <w:bottom w:val="single" w:color="000000" w:sz="4" w:space="0"/>
              <w:right w:val="single" w:color="000000" w:sz="4" w:space="0"/>
            </w:tcBorders>
            <w:shd w:val="clear" w:color="auto" w:fill="auto"/>
            <w:vAlign w:val="center"/>
          </w:tcPr>
          <w:p w14:paraId="34AEC318">
            <w:pPr>
              <w:keepNext w:val="0"/>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≥22000人</w:t>
            </w:r>
          </w:p>
        </w:tc>
        <w:tc>
          <w:tcPr>
            <w:tcW w:w="1904" w:type="dxa"/>
            <w:tcBorders>
              <w:top w:val="nil"/>
              <w:left w:val="nil"/>
              <w:bottom w:val="single" w:color="000000" w:sz="4" w:space="0"/>
              <w:right w:val="single" w:color="000000" w:sz="4" w:space="0"/>
            </w:tcBorders>
            <w:shd w:val="clear" w:color="auto" w:fill="auto"/>
            <w:vAlign w:val="center"/>
          </w:tcPr>
          <w:p w14:paraId="32E44CC5">
            <w:pPr>
              <w:keepNext w:val="0"/>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23784人</w:t>
            </w:r>
          </w:p>
        </w:tc>
      </w:tr>
      <w:tr w14:paraId="5E1E6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42" w:type="dxa"/>
            <w:vMerge w:val="continue"/>
            <w:tcBorders>
              <w:left w:val="nil"/>
              <w:right w:val="single" w:color="000000" w:sz="4" w:space="0"/>
            </w:tcBorders>
            <w:shd w:val="clear" w:color="auto" w:fill="auto"/>
            <w:vAlign w:val="center"/>
          </w:tcPr>
          <w:p w14:paraId="191ABD77">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1242" w:type="dxa"/>
            <w:vMerge w:val="continue"/>
            <w:tcBorders>
              <w:left w:val="nil"/>
              <w:bottom w:val="nil"/>
              <w:right w:val="single" w:color="000000" w:sz="4" w:space="0"/>
            </w:tcBorders>
            <w:shd w:val="clear" w:color="auto" w:fill="auto"/>
            <w:vAlign w:val="center"/>
          </w:tcPr>
          <w:p w14:paraId="77FAF35E">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2635" w:type="dxa"/>
            <w:tcBorders>
              <w:top w:val="nil"/>
              <w:left w:val="nil"/>
              <w:bottom w:val="nil"/>
              <w:right w:val="single" w:color="000000" w:sz="4" w:space="0"/>
            </w:tcBorders>
            <w:shd w:val="clear" w:color="auto" w:fill="auto"/>
            <w:vAlign w:val="center"/>
          </w:tcPr>
          <w:p w14:paraId="72799326">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普惠性幼儿园生均定额市级补助标准</w:t>
            </w:r>
          </w:p>
        </w:tc>
        <w:tc>
          <w:tcPr>
            <w:tcW w:w="1499" w:type="dxa"/>
            <w:tcBorders>
              <w:top w:val="nil"/>
              <w:left w:val="nil"/>
              <w:bottom w:val="nil"/>
              <w:right w:val="single" w:color="000000" w:sz="4" w:space="0"/>
            </w:tcBorders>
            <w:shd w:val="clear" w:color="auto" w:fill="auto"/>
            <w:vAlign w:val="center"/>
          </w:tcPr>
          <w:p w14:paraId="0D14AD5F">
            <w:pPr>
              <w:keepNext w:val="0"/>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不高于1000元/生</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月</w:t>
            </w:r>
          </w:p>
        </w:tc>
        <w:tc>
          <w:tcPr>
            <w:tcW w:w="1904" w:type="dxa"/>
            <w:tcBorders>
              <w:top w:val="nil"/>
              <w:left w:val="nil"/>
              <w:bottom w:val="nil"/>
              <w:right w:val="single" w:color="000000" w:sz="4" w:space="0"/>
            </w:tcBorders>
            <w:shd w:val="clear" w:color="auto" w:fill="auto"/>
            <w:vAlign w:val="center"/>
          </w:tcPr>
          <w:p w14:paraId="33A201D4">
            <w:pPr>
              <w:keepNext w:val="0"/>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1000元/生</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月</w:t>
            </w:r>
          </w:p>
        </w:tc>
      </w:tr>
      <w:tr w14:paraId="04EAF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42" w:type="dxa"/>
            <w:vMerge w:val="continue"/>
            <w:tcBorders>
              <w:left w:val="nil"/>
              <w:bottom w:val="single" w:color="000000" w:sz="4" w:space="0"/>
              <w:right w:val="single" w:color="000000" w:sz="4" w:space="0"/>
            </w:tcBorders>
            <w:shd w:val="clear" w:color="auto" w:fill="auto"/>
            <w:vAlign w:val="center"/>
          </w:tcPr>
          <w:p w14:paraId="37C663DF">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1242" w:type="dxa"/>
            <w:tcBorders>
              <w:top w:val="nil"/>
              <w:left w:val="nil"/>
              <w:bottom w:val="single" w:color="000000" w:sz="4" w:space="0"/>
              <w:right w:val="single" w:color="000000" w:sz="4" w:space="0"/>
            </w:tcBorders>
            <w:shd w:val="clear" w:color="auto" w:fill="auto"/>
            <w:vAlign w:val="center"/>
          </w:tcPr>
          <w:p w14:paraId="0DF9EBD4">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质量指标</w:t>
            </w:r>
          </w:p>
        </w:tc>
        <w:tc>
          <w:tcPr>
            <w:tcW w:w="2635" w:type="dxa"/>
            <w:tcBorders>
              <w:top w:val="nil"/>
              <w:left w:val="nil"/>
              <w:bottom w:val="single" w:color="000000" w:sz="4" w:space="0"/>
              <w:right w:val="single" w:color="000000" w:sz="4" w:space="0"/>
            </w:tcBorders>
            <w:shd w:val="clear" w:color="auto" w:fill="auto"/>
            <w:vAlign w:val="center"/>
          </w:tcPr>
          <w:p w14:paraId="462102C8">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幼儿园办园质量</w:t>
            </w:r>
          </w:p>
        </w:tc>
        <w:tc>
          <w:tcPr>
            <w:tcW w:w="1499" w:type="dxa"/>
            <w:tcBorders>
              <w:top w:val="nil"/>
              <w:left w:val="nil"/>
              <w:bottom w:val="single" w:color="000000" w:sz="4" w:space="0"/>
              <w:right w:val="single" w:color="000000" w:sz="4" w:space="0"/>
            </w:tcBorders>
            <w:shd w:val="clear" w:color="auto" w:fill="auto"/>
            <w:vAlign w:val="center"/>
          </w:tcPr>
          <w:p w14:paraId="128DD630">
            <w:pPr>
              <w:keepNext w:val="0"/>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提升</w:t>
            </w:r>
          </w:p>
        </w:tc>
        <w:tc>
          <w:tcPr>
            <w:tcW w:w="1904" w:type="dxa"/>
            <w:tcBorders>
              <w:top w:val="nil"/>
              <w:left w:val="nil"/>
              <w:bottom w:val="single" w:color="000000" w:sz="4" w:space="0"/>
              <w:right w:val="single" w:color="000000" w:sz="4" w:space="0"/>
            </w:tcBorders>
            <w:shd w:val="clear" w:color="auto" w:fill="auto"/>
            <w:vAlign w:val="center"/>
          </w:tcPr>
          <w:p w14:paraId="59EAC4DA">
            <w:pPr>
              <w:keepNext w:val="0"/>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提升</w:t>
            </w:r>
          </w:p>
        </w:tc>
      </w:tr>
    </w:tbl>
    <w:p w14:paraId="61EA72A9">
      <w:pPr>
        <w:numPr>
          <w:ilvl w:val="0"/>
          <w:numId w:val="0"/>
        </w:numPr>
        <w:overflowPunct w:val="0"/>
        <w:spacing w:line="560" w:lineRule="exact"/>
        <w:ind w:firstLine="640" w:firstLineChars="200"/>
        <w:rPr>
          <w:rFonts w:hint="eastAsia" w:ascii="楷体_GB2312" w:hAnsi="Arial" w:eastAsia="楷体_GB2312" w:cs="Arial"/>
          <w:bCs/>
          <w:sz w:val="32"/>
          <w:szCs w:val="32"/>
          <w:highlight w:val="none"/>
        </w:rPr>
      </w:pPr>
      <w:r>
        <w:rPr>
          <w:rFonts w:hint="eastAsia" w:ascii="楷体_GB2312" w:hAnsi="Arial" w:eastAsia="楷体_GB2312" w:cs="Arial"/>
          <w:bCs/>
          <w:kern w:val="2"/>
          <w:sz w:val="32"/>
          <w:szCs w:val="32"/>
          <w:highlight w:val="none"/>
          <w:lang w:val="en-US" w:eastAsia="zh-CN" w:bidi="ar-SA"/>
        </w:rPr>
        <w:t>（二）</w:t>
      </w:r>
      <w:r>
        <w:rPr>
          <w:rFonts w:hint="eastAsia" w:ascii="楷体_GB2312" w:hAnsi="Arial" w:eastAsia="楷体_GB2312" w:cs="Arial"/>
          <w:bCs/>
          <w:sz w:val="32"/>
          <w:szCs w:val="32"/>
          <w:highlight w:val="none"/>
        </w:rPr>
        <w:t>效益</w:t>
      </w:r>
    </w:p>
    <w:p w14:paraId="5CC7FD1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rPr>
        <w:t>根据项目情况，将效益指标分解为二级社会效益指标。社会效益指标为各区学前教育普惠保障水平</w:t>
      </w:r>
      <w:r>
        <w:rPr>
          <w:rFonts w:hint="eastAsia" w:ascii="仿宋_GB2312" w:hAnsi="黑体" w:eastAsia="仿宋_GB2312"/>
          <w:sz w:val="32"/>
          <w:szCs w:val="32"/>
          <w:highlight w:val="none"/>
          <w:lang w:val="en-US" w:eastAsia="zh-CN"/>
        </w:rPr>
        <w:t>和公办园在园幼儿占比。2025年海淀区学前教育核心指标全部达成，学前三年入园率95%，普惠率94%，海淀区学前教育普惠保障水平得到显著提高，</w:t>
      </w:r>
      <w:r>
        <w:rPr>
          <w:rFonts w:hint="eastAsia" w:ascii="仿宋_GB2312" w:hAnsi="黑体" w:eastAsia="仿宋_GB2312"/>
          <w:sz w:val="32"/>
          <w:szCs w:val="32"/>
          <w:highlight w:val="none"/>
        </w:rPr>
        <w:t>优化教育发展环境，持续健全与完善</w:t>
      </w:r>
      <w:r>
        <w:rPr>
          <w:rFonts w:hint="eastAsia" w:ascii="仿宋_GB2312" w:hAnsi="黑体" w:eastAsia="仿宋_GB2312"/>
          <w:sz w:val="32"/>
          <w:szCs w:val="32"/>
          <w:highlight w:val="none"/>
          <w:lang w:val="en-US" w:eastAsia="zh-CN"/>
        </w:rPr>
        <w:t>学前</w:t>
      </w:r>
      <w:r>
        <w:rPr>
          <w:rFonts w:hint="eastAsia" w:ascii="仿宋_GB2312" w:hAnsi="黑体" w:eastAsia="仿宋_GB2312"/>
          <w:sz w:val="32"/>
          <w:szCs w:val="32"/>
          <w:highlight w:val="none"/>
        </w:rPr>
        <w:t>教育经费保障机制</w:t>
      </w:r>
      <w:r>
        <w:rPr>
          <w:rFonts w:hint="eastAsia" w:ascii="仿宋_GB2312" w:hAnsi="黑体" w:eastAsia="仿宋_GB2312"/>
          <w:sz w:val="32"/>
          <w:szCs w:val="32"/>
          <w:highlight w:val="none"/>
          <w:lang w:eastAsia="zh-CN"/>
        </w:rPr>
        <w:t>。</w:t>
      </w:r>
    </w:p>
    <w:p w14:paraId="2602204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highlight w:val="none"/>
        </w:rPr>
      </w:pPr>
    </w:p>
    <w:tbl>
      <w:tblPr>
        <w:tblStyle w:val="12"/>
        <w:tblW w:w="88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19"/>
        <w:gridCol w:w="1656"/>
        <w:gridCol w:w="2920"/>
        <w:gridCol w:w="1216"/>
        <w:gridCol w:w="1794"/>
      </w:tblGrid>
      <w:tr w14:paraId="7E55A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219" w:type="dxa"/>
            <w:tcBorders>
              <w:top w:val="nil"/>
              <w:left w:val="nil"/>
              <w:bottom w:val="single" w:color="000000" w:sz="4" w:space="0"/>
              <w:right w:val="single" w:color="000000" w:sz="4" w:space="0"/>
            </w:tcBorders>
            <w:shd w:val="clear" w:color="auto" w:fill="auto"/>
            <w:vAlign w:val="center"/>
          </w:tcPr>
          <w:p w14:paraId="282996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一级指标</w:t>
            </w:r>
          </w:p>
        </w:tc>
        <w:tc>
          <w:tcPr>
            <w:tcW w:w="1656" w:type="dxa"/>
            <w:tcBorders>
              <w:top w:val="nil"/>
              <w:left w:val="nil"/>
              <w:bottom w:val="single" w:color="000000" w:sz="4" w:space="0"/>
              <w:right w:val="single" w:color="000000" w:sz="4" w:space="0"/>
            </w:tcBorders>
            <w:shd w:val="clear" w:color="auto" w:fill="auto"/>
            <w:vAlign w:val="center"/>
          </w:tcPr>
          <w:p w14:paraId="48E9F7F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二级指标</w:t>
            </w:r>
          </w:p>
        </w:tc>
        <w:tc>
          <w:tcPr>
            <w:tcW w:w="2920" w:type="dxa"/>
            <w:tcBorders>
              <w:top w:val="nil"/>
              <w:left w:val="nil"/>
              <w:bottom w:val="single" w:color="000000" w:sz="4" w:space="0"/>
              <w:right w:val="single" w:color="000000" w:sz="4" w:space="0"/>
            </w:tcBorders>
            <w:shd w:val="clear" w:color="auto" w:fill="auto"/>
            <w:vAlign w:val="center"/>
          </w:tcPr>
          <w:p w14:paraId="01A5738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三级指标</w:t>
            </w:r>
          </w:p>
        </w:tc>
        <w:tc>
          <w:tcPr>
            <w:tcW w:w="1216" w:type="dxa"/>
            <w:tcBorders>
              <w:top w:val="nil"/>
              <w:left w:val="nil"/>
              <w:bottom w:val="single" w:color="000000" w:sz="4" w:space="0"/>
              <w:right w:val="single" w:color="000000" w:sz="4" w:space="0"/>
            </w:tcBorders>
            <w:shd w:val="clear" w:color="auto" w:fill="auto"/>
            <w:vAlign w:val="center"/>
          </w:tcPr>
          <w:p w14:paraId="7BED78A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指标值</w:t>
            </w:r>
          </w:p>
        </w:tc>
        <w:tc>
          <w:tcPr>
            <w:tcW w:w="1794" w:type="dxa"/>
            <w:tcBorders>
              <w:top w:val="nil"/>
              <w:left w:val="nil"/>
              <w:bottom w:val="single" w:color="000000" w:sz="4" w:space="0"/>
              <w:right w:val="single" w:color="000000" w:sz="4" w:space="0"/>
            </w:tcBorders>
            <w:shd w:val="clear" w:color="auto" w:fill="auto"/>
            <w:vAlign w:val="center"/>
          </w:tcPr>
          <w:p w14:paraId="5BBA17B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全年实际完成值</w:t>
            </w:r>
          </w:p>
        </w:tc>
      </w:tr>
      <w:tr w14:paraId="71BEE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19" w:type="dxa"/>
            <w:vMerge w:val="restart"/>
            <w:tcBorders>
              <w:top w:val="nil"/>
              <w:left w:val="nil"/>
              <w:right w:val="single" w:color="000000" w:sz="4" w:space="0"/>
            </w:tcBorders>
            <w:shd w:val="clear" w:color="auto" w:fill="auto"/>
            <w:vAlign w:val="center"/>
          </w:tcPr>
          <w:p w14:paraId="745BBF0F">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效益指标</w:t>
            </w:r>
          </w:p>
        </w:tc>
        <w:tc>
          <w:tcPr>
            <w:tcW w:w="1656" w:type="dxa"/>
            <w:vMerge w:val="restart"/>
            <w:tcBorders>
              <w:top w:val="nil"/>
              <w:left w:val="nil"/>
              <w:right w:val="single" w:color="000000" w:sz="4" w:space="0"/>
            </w:tcBorders>
            <w:shd w:val="clear" w:color="auto" w:fill="auto"/>
            <w:vAlign w:val="center"/>
          </w:tcPr>
          <w:p w14:paraId="2A653AA1">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社会效益指标</w:t>
            </w:r>
          </w:p>
        </w:tc>
        <w:tc>
          <w:tcPr>
            <w:tcW w:w="2920" w:type="dxa"/>
            <w:tcBorders>
              <w:top w:val="nil"/>
              <w:left w:val="nil"/>
              <w:bottom w:val="single" w:color="000000" w:sz="4" w:space="0"/>
              <w:right w:val="single" w:color="000000" w:sz="4" w:space="0"/>
            </w:tcBorders>
            <w:shd w:val="clear" w:color="auto" w:fill="auto"/>
            <w:vAlign w:val="center"/>
          </w:tcPr>
          <w:p w14:paraId="737B52EB">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各区学前教育普惠保障水平</w:t>
            </w:r>
          </w:p>
        </w:tc>
        <w:tc>
          <w:tcPr>
            <w:tcW w:w="1216" w:type="dxa"/>
            <w:tcBorders>
              <w:top w:val="nil"/>
              <w:left w:val="nil"/>
              <w:bottom w:val="single" w:color="000000" w:sz="4" w:space="0"/>
              <w:right w:val="single" w:color="000000" w:sz="4" w:space="0"/>
            </w:tcBorders>
            <w:shd w:val="clear" w:color="auto" w:fill="auto"/>
            <w:vAlign w:val="center"/>
          </w:tcPr>
          <w:p w14:paraId="0D549EF5">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有效提高</w:t>
            </w:r>
          </w:p>
        </w:tc>
        <w:tc>
          <w:tcPr>
            <w:tcW w:w="1794" w:type="dxa"/>
            <w:tcBorders>
              <w:top w:val="nil"/>
              <w:left w:val="nil"/>
              <w:bottom w:val="single" w:color="000000" w:sz="4" w:space="0"/>
              <w:right w:val="single" w:color="000000" w:sz="4" w:space="0"/>
            </w:tcBorders>
            <w:shd w:val="clear" w:color="auto" w:fill="auto"/>
            <w:vAlign w:val="center"/>
          </w:tcPr>
          <w:p w14:paraId="7D29BC52">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有效提高</w:t>
            </w:r>
          </w:p>
        </w:tc>
      </w:tr>
      <w:tr w14:paraId="186CC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19" w:type="dxa"/>
            <w:vMerge w:val="continue"/>
            <w:tcBorders>
              <w:left w:val="nil"/>
              <w:bottom w:val="single" w:color="000000" w:sz="4" w:space="0"/>
              <w:right w:val="single" w:color="000000" w:sz="4" w:space="0"/>
            </w:tcBorders>
            <w:shd w:val="clear" w:color="auto" w:fill="auto"/>
            <w:vAlign w:val="center"/>
          </w:tcPr>
          <w:p w14:paraId="25526215">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1656" w:type="dxa"/>
            <w:vMerge w:val="continue"/>
            <w:tcBorders>
              <w:left w:val="nil"/>
              <w:bottom w:val="single" w:color="000000" w:sz="4" w:space="0"/>
              <w:right w:val="single" w:color="000000" w:sz="4" w:space="0"/>
            </w:tcBorders>
            <w:shd w:val="clear" w:color="auto" w:fill="auto"/>
            <w:vAlign w:val="center"/>
          </w:tcPr>
          <w:p w14:paraId="2196BD71">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2920" w:type="dxa"/>
            <w:tcBorders>
              <w:top w:val="nil"/>
              <w:left w:val="nil"/>
              <w:bottom w:val="single" w:color="000000" w:sz="4" w:space="0"/>
              <w:right w:val="single" w:color="000000" w:sz="4" w:space="0"/>
            </w:tcBorders>
            <w:shd w:val="clear" w:color="auto" w:fill="auto"/>
            <w:vAlign w:val="center"/>
          </w:tcPr>
          <w:p w14:paraId="51EC2F6B">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公办园在园幼儿占比</w:t>
            </w:r>
          </w:p>
        </w:tc>
        <w:tc>
          <w:tcPr>
            <w:tcW w:w="1216" w:type="dxa"/>
            <w:tcBorders>
              <w:top w:val="nil"/>
              <w:left w:val="nil"/>
              <w:bottom w:val="single" w:color="000000" w:sz="4" w:space="0"/>
              <w:right w:val="single" w:color="000000" w:sz="4" w:space="0"/>
            </w:tcBorders>
            <w:shd w:val="clear" w:color="auto" w:fill="auto"/>
            <w:vAlign w:val="center"/>
          </w:tcPr>
          <w:p w14:paraId="751D7B93">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持续提高</w:t>
            </w:r>
          </w:p>
        </w:tc>
        <w:tc>
          <w:tcPr>
            <w:tcW w:w="1794" w:type="dxa"/>
            <w:tcBorders>
              <w:top w:val="nil"/>
              <w:left w:val="nil"/>
              <w:bottom w:val="single" w:color="000000" w:sz="4" w:space="0"/>
              <w:right w:val="single" w:color="000000" w:sz="4" w:space="0"/>
            </w:tcBorders>
            <w:shd w:val="clear" w:color="auto" w:fill="auto"/>
            <w:vAlign w:val="center"/>
          </w:tcPr>
          <w:p w14:paraId="65CEA73E">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持续提高</w:t>
            </w:r>
          </w:p>
        </w:tc>
      </w:tr>
    </w:tbl>
    <w:p w14:paraId="59839759">
      <w:pPr>
        <w:numPr>
          <w:ilvl w:val="0"/>
          <w:numId w:val="0"/>
        </w:numPr>
        <w:overflowPunct w:val="0"/>
        <w:spacing w:line="560" w:lineRule="exact"/>
        <w:ind w:firstLine="640" w:firstLineChars="200"/>
        <w:rPr>
          <w:rFonts w:hint="eastAsia" w:ascii="黑体" w:hAnsi="黑体" w:eastAsia="黑体"/>
          <w:sz w:val="32"/>
          <w:szCs w:val="32"/>
          <w:highlight w:val="none"/>
        </w:rPr>
      </w:pPr>
      <w:bookmarkStart w:id="10" w:name="_Toc107562462"/>
      <w:r>
        <w:rPr>
          <w:rFonts w:hint="eastAsia" w:ascii="黑体" w:hAnsi="黑体" w:eastAsia="黑体" w:cs="Times New Roman"/>
          <w:kern w:val="2"/>
          <w:sz w:val="32"/>
          <w:szCs w:val="32"/>
          <w:highlight w:val="none"/>
          <w:lang w:val="en-US" w:eastAsia="zh-CN" w:bidi="ar-SA"/>
        </w:rPr>
        <w:t>五、</w:t>
      </w:r>
      <w:r>
        <w:rPr>
          <w:rFonts w:hint="eastAsia" w:ascii="黑体" w:hAnsi="黑体" w:eastAsia="黑体"/>
          <w:sz w:val="32"/>
          <w:szCs w:val="32"/>
          <w:highlight w:val="none"/>
        </w:rPr>
        <w:t>存在的主要问题</w:t>
      </w:r>
      <w:bookmarkEnd w:id="10"/>
    </w:p>
    <w:p w14:paraId="68EBF52E">
      <w:pPr>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firstLine="640" w:firstLineChars="200"/>
        <w:textAlignment w:val="auto"/>
        <w:rPr>
          <w:rFonts w:hint="eastAsia" w:ascii="黑体" w:hAnsi="黑体" w:eastAsia="黑体"/>
          <w:sz w:val="32"/>
          <w:szCs w:val="32"/>
          <w:highlight w:val="none"/>
        </w:rPr>
      </w:pPr>
      <w:r>
        <w:rPr>
          <w:rFonts w:hint="eastAsia" w:ascii="仿宋_GB2312" w:hAnsi="宋体" w:eastAsia="仿宋_GB2312"/>
          <w:sz w:val="32"/>
          <w:szCs w:val="32"/>
          <w:highlight w:val="none"/>
          <w:lang w:val="en-US" w:eastAsia="zh-CN"/>
        </w:rPr>
        <w:t>海淀区支持学前教育发展补助经费资金各项目标圆满完成。但在资金的审核与监管，绩效评价工作的开展及结果应该方面，还有待提高和完善。</w:t>
      </w:r>
    </w:p>
    <w:p w14:paraId="489DC40A">
      <w:pPr>
        <w:overflowPunct w:val="0"/>
        <w:spacing w:line="560" w:lineRule="exact"/>
        <w:ind w:firstLine="640" w:firstLineChars="200"/>
        <w:rPr>
          <w:rFonts w:ascii="黑体" w:hAnsi="黑体" w:eastAsia="黑体"/>
          <w:sz w:val="32"/>
          <w:szCs w:val="32"/>
          <w:highlight w:val="none"/>
        </w:rPr>
      </w:pPr>
      <w:bookmarkStart w:id="11" w:name="_Toc107562465"/>
      <w:r>
        <w:rPr>
          <w:rFonts w:hint="eastAsia" w:ascii="黑体" w:hAnsi="黑体" w:eastAsia="黑体"/>
          <w:sz w:val="32"/>
          <w:szCs w:val="32"/>
          <w:highlight w:val="none"/>
        </w:rPr>
        <w:t>六、</w:t>
      </w:r>
      <w:bookmarkEnd w:id="11"/>
      <w:r>
        <w:rPr>
          <w:rFonts w:hint="eastAsia" w:ascii="黑体" w:hAnsi="黑体" w:eastAsia="黑体"/>
          <w:sz w:val="32"/>
          <w:szCs w:val="32"/>
          <w:highlight w:val="none"/>
        </w:rPr>
        <w:t>下一步工作措施</w:t>
      </w:r>
    </w:p>
    <w:p w14:paraId="727B7E79">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今后我区将继续加强资金管理。在今后的工作中，将强化以下措施：</w:t>
      </w:r>
    </w:p>
    <w:p w14:paraId="187B7B5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 w:eastAsia="仿宋_GB2312"/>
          <w:sz w:val="32"/>
          <w:szCs w:val="32"/>
          <w:highlight w:val="none"/>
          <w:lang w:eastAsia="zh-CN"/>
        </w:rPr>
      </w:pPr>
      <w:r>
        <w:rPr>
          <w:rFonts w:hint="eastAsia" w:ascii="仿宋_GB2312" w:hAnsi="仿宋" w:eastAsia="仿宋_GB2312"/>
          <w:sz w:val="32"/>
          <w:szCs w:val="32"/>
          <w:highlight w:val="none"/>
          <w:lang w:val="en-US" w:eastAsia="zh-CN"/>
        </w:rPr>
        <w:t>1.</w:t>
      </w:r>
      <w:r>
        <w:rPr>
          <w:rFonts w:hint="eastAsia" w:ascii="仿宋_GB2312" w:hAnsi="仿宋" w:eastAsia="仿宋_GB2312"/>
          <w:sz w:val="32"/>
          <w:szCs w:val="32"/>
          <w:highlight w:val="none"/>
          <w:lang w:eastAsia="zh-CN"/>
        </w:rPr>
        <w:t>优化审核拨付与</w:t>
      </w:r>
      <w:r>
        <w:rPr>
          <w:rFonts w:hint="eastAsia" w:ascii="仿宋_GB2312" w:hAnsi="仿宋" w:eastAsia="仿宋_GB2312"/>
          <w:sz w:val="32"/>
          <w:szCs w:val="32"/>
          <w:highlight w:val="none"/>
          <w:lang w:val="en-US" w:eastAsia="zh-CN"/>
        </w:rPr>
        <w:t>监管机制</w:t>
      </w:r>
      <w:r>
        <w:rPr>
          <w:rFonts w:hint="eastAsia" w:ascii="仿宋_GB2312" w:hAnsi="仿宋" w:eastAsia="仿宋_GB2312"/>
          <w:sz w:val="32"/>
          <w:szCs w:val="32"/>
          <w:highlight w:val="none"/>
          <w:lang w:eastAsia="zh-CN"/>
        </w:rPr>
        <w:t>。严格执行“公正、公平、公开”的审核拨付程序，并利用信息化手段加强资金动态监控。确保资金及时下达。同时，严格执行</w:t>
      </w:r>
      <w:r>
        <w:rPr>
          <w:rFonts w:hint="eastAsia" w:ascii="仿宋_GB2312" w:hAnsi="仿宋" w:eastAsia="仿宋_GB2312"/>
          <w:sz w:val="32"/>
          <w:szCs w:val="32"/>
          <w:highlight w:val="none"/>
          <w:lang w:val="en-US" w:eastAsia="zh-CN"/>
        </w:rPr>
        <w:t>各级</w:t>
      </w:r>
      <w:r>
        <w:rPr>
          <w:rFonts w:hint="eastAsia" w:ascii="仿宋_GB2312" w:hAnsi="仿宋" w:eastAsia="仿宋_GB2312"/>
          <w:sz w:val="32"/>
          <w:szCs w:val="32"/>
          <w:highlight w:val="none"/>
          <w:lang w:eastAsia="zh-CN"/>
        </w:rPr>
        <w:t>政策下的公示要求，不仅公示资金分配明细，更要求受补助幼儿园在园所显著位置、公示栏、招生简章等多渠道，主动、清晰公示其享受的政府补助政策、具体标准及金额，保障家长知情权，实现全过程透明化。</w:t>
      </w:r>
    </w:p>
    <w:p w14:paraId="7912513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sz w:val="32"/>
          <w:szCs w:val="32"/>
          <w:highlight w:val="none"/>
        </w:rPr>
      </w:pPr>
      <w:r>
        <w:rPr>
          <w:rFonts w:hint="eastAsia" w:ascii="仿宋_GB2312" w:hAnsi="仿宋" w:eastAsia="仿宋_GB2312"/>
          <w:sz w:val="32"/>
          <w:szCs w:val="32"/>
          <w:highlight w:val="none"/>
          <w:lang w:val="en-US" w:eastAsia="zh-CN"/>
        </w:rPr>
        <w:t>2.</w:t>
      </w:r>
      <w:r>
        <w:rPr>
          <w:rFonts w:hint="eastAsia" w:ascii="仿宋_GB2312" w:hAnsi="仿宋" w:eastAsia="仿宋_GB2312"/>
          <w:sz w:val="32"/>
          <w:szCs w:val="32"/>
          <w:highlight w:val="none"/>
          <w:lang w:eastAsia="zh-CN"/>
        </w:rPr>
        <w:t>强化绩效管理与使用监管。加强对幼儿园的专项培训与指导，构建“预算编制有目标、执行有监控、完成有评价”的全过程绩效管理体系。</w:t>
      </w:r>
      <w:r>
        <w:rPr>
          <w:rFonts w:hint="eastAsia" w:ascii="仿宋_GB2312" w:hAnsi="仿宋" w:eastAsia="仿宋_GB2312"/>
          <w:sz w:val="32"/>
          <w:szCs w:val="32"/>
          <w:highlight w:val="none"/>
          <w:lang w:val="en-US" w:eastAsia="zh-CN"/>
        </w:rPr>
        <w:t>细化绩效考核指标，强化考核结果应用机制，</w:t>
      </w:r>
      <w:r>
        <w:rPr>
          <w:rFonts w:hint="eastAsia" w:ascii="仿宋_GB2312" w:hAnsi="仿宋" w:eastAsia="仿宋_GB2312"/>
          <w:sz w:val="32"/>
          <w:szCs w:val="32"/>
          <w:highlight w:val="none"/>
          <w:lang w:eastAsia="zh-CN"/>
        </w:rPr>
        <w:t>确保资金专款专用，全面提升财政资金使用效益。</w:t>
      </w:r>
    </w:p>
    <w:p w14:paraId="008F449B">
      <w:pPr>
        <w:tabs>
          <w:tab w:val="left" w:pos="1416"/>
          <w:tab w:val="left" w:pos="2512"/>
          <w:tab w:val="left" w:pos="4708"/>
          <w:tab w:val="left" w:pos="6073"/>
          <w:tab w:val="left" w:pos="7389"/>
          <w:tab w:val="left" w:pos="8705"/>
          <w:tab w:val="left" w:pos="10021"/>
          <w:tab w:val="left" w:pos="10685"/>
          <w:tab w:val="left" w:pos="11745"/>
          <w:tab w:val="left" w:pos="12841"/>
        </w:tabs>
        <w:rPr>
          <w:rFonts w:hint="eastAsia" w:ascii="黑体" w:hAnsi="宋体" w:eastAsia="黑体" w:cs="黑体"/>
          <w:color w:val="000000"/>
          <w:kern w:val="0"/>
          <w:sz w:val="32"/>
          <w:szCs w:val="32"/>
          <w:highlight w:val="none"/>
          <w:lang w:bidi="ar"/>
        </w:rPr>
        <w:sectPr>
          <w:headerReference r:id="rId6" w:type="first"/>
          <w:headerReference r:id="rId4" w:type="default"/>
          <w:footerReference r:id="rId7" w:type="default"/>
          <w:headerReference r:id="rId5" w:type="even"/>
          <w:footerReference r:id="rId8" w:type="even"/>
          <w:pgSz w:w="11906" w:h="16838"/>
          <w:pgMar w:top="2098" w:right="1531" w:bottom="1985" w:left="1531" w:header="851" w:footer="1588" w:gutter="0"/>
          <w:pgNumType w:fmt="numberInDash"/>
          <w:cols w:space="720" w:num="1"/>
          <w:titlePg/>
          <w:docGrid w:type="linesAndChars" w:linePitch="312" w:charSpace="0"/>
        </w:sectPr>
      </w:pPr>
    </w:p>
    <w:p w14:paraId="53CCC23B">
      <w:pPr>
        <w:overflowPunct w:val="0"/>
        <w:spacing w:line="560" w:lineRule="exact"/>
        <w:jc w:val="center"/>
        <w:rPr>
          <w:rFonts w:hint="eastAsia" w:ascii="方正小标宋简体" w:hAnsi="方正小标宋简体" w:eastAsia="方正小标宋简体" w:cs="方正小标宋简体"/>
          <w:bCs/>
          <w:color w:val="000000"/>
          <w:sz w:val="44"/>
          <w:szCs w:val="28"/>
          <w:highlight w:val="none"/>
        </w:rPr>
      </w:pPr>
      <w:r>
        <w:rPr>
          <w:rFonts w:hint="eastAsia" w:ascii="方正小标宋简体" w:hAnsi="方正小标宋简体" w:eastAsia="方正小标宋简体" w:cs="方正小标宋简体"/>
          <w:bCs/>
          <w:color w:val="000000"/>
          <w:kern w:val="0"/>
          <w:sz w:val="44"/>
          <w:szCs w:val="28"/>
          <w:highlight w:val="none"/>
          <w:lang w:bidi="ar"/>
        </w:rPr>
        <w:t>项目支出绩效自评表</w:t>
      </w:r>
    </w:p>
    <w:p w14:paraId="18089C72">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w:t>
      </w:r>
      <w:r>
        <w:rPr>
          <w:rFonts w:hint="eastAsia" w:ascii="宋体" w:hAnsi="宋体" w:cs="宋体"/>
          <w:color w:val="000000"/>
          <w:kern w:val="0"/>
          <w:sz w:val="22"/>
          <w:szCs w:val="22"/>
          <w:highlight w:val="none"/>
          <w:lang w:val="en-US" w:eastAsia="zh-CN" w:bidi="ar"/>
        </w:rPr>
        <w:t>2025</w:t>
      </w:r>
      <w:r>
        <w:rPr>
          <w:rFonts w:hint="eastAsia" w:ascii="宋体" w:hAnsi="宋体" w:cs="宋体"/>
          <w:color w:val="000000"/>
          <w:kern w:val="0"/>
          <w:sz w:val="22"/>
          <w:szCs w:val="22"/>
          <w:highlight w:val="none"/>
          <w:lang w:bidi="ar"/>
        </w:rPr>
        <w:t>年度）</w:t>
      </w:r>
    </w:p>
    <w:tbl>
      <w:tblPr>
        <w:tblStyle w:val="12"/>
        <w:tblW w:w="4997"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781"/>
        <w:gridCol w:w="1142"/>
        <w:gridCol w:w="498"/>
        <w:gridCol w:w="3163"/>
        <w:gridCol w:w="1424"/>
        <w:gridCol w:w="1418"/>
        <w:gridCol w:w="1307"/>
        <w:gridCol w:w="1070"/>
        <w:gridCol w:w="1274"/>
        <w:gridCol w:w="953"/>
        <w:gridCol w:w="1588"/>
      </w:tblGrid>
      <w:tr w14:paraId="2E9378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657" w:type="pct"/>
            <w:gridSpan w:val="2"/>
            <w:noWrap/>
            <w:vAlign w:val="center"/>
          </w:tcPr>
          <w:p w14:paraId="028C0E17">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项目名称</w:t>
            </w:r>
          </w:p>
        </w:tc>
        <w:tc>
          <w:tcPr>
            <w:tcW w:w="4342" w:type="pct"/>
            <w:gridSpan w:val="9"/>
            <w:noWrap/>
            <w:vAlign w:val="center"/>
          </w:tcPr>
          <w:p w14:paraId="7F9F0BA2">
            <w:pPr>
              <w:jc w:val="center"/>
              <w:rPr>
                <w:rFonts w:hint="eastAsia" w:ascii="仿宋_GB2312" w:hAnsi="宋体" w:eastAsia="仿宋_GB2312" w:cs="仿宋_GB2312"/>
                <w:color w:val="000000"/>
                <w:sz w:val="22"/>
                <w:szCs w:val="22"/>
                <w:highlight w:val="none"/>
              </w:rPr>
            </w:pPr>
            <w:r>
              <w:rPr>
                <w:rFonts w:hint="eastAsia" w:ascii="仿宋_GB2312" w:hAnsi="宋体" w:eastAsia="仿宋_GB2312" w:cs="仿宋_GB2312"/>
                <w:color w:val="000000"/>
                <w:sz w:val="22"/>
                <w:szCs w:val="22"/>
                <w:highlight w:val="none"/>
              </w:rPr>
              <w:t>支持学前教育发展资金</w:t>
            </w:r>
          </w:p>
        </w:tc>
      </w:tr>
      <w:tr w14:paraId="18A81E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657" w:type="pct"/>
            <w:gridSpan w:val="2"/>
            <w:noWrap/>
            <w:vAlign w:val="center"/>
          </w:tcPr>
          <w:p w14:paraId="4E6902FE">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主管部门</w:t>
            </w:r>
          </w:p>
        </w:tc>
        <w:tc>
          <w:tcPr>
            <w:tcW w:w="2224" w:type="pct"/>
            <w:gridSpan w:val="4"/>
            <w:noWrap/>
            <w:vAlign w:val="center"/>
          </w:tcPr>
          <w:p w14:paraId="5CFE3ED7">
            <w:pPr>
              <w:jc w:val="center"/>
              <w:rPr>
                <w:rFonts w:hint="eastAsia" w:ascii="仿宋_GB2312" w:hAnsi="宋体" w:eastAsia="仿宋_GB2312" w:cs="仿宋_GB2312"/>
                <w:color w:val="000000"/>
                <w:sz w:val="22"/>
                <w:szCs w:val="22"/>
                <w:highlight w:val="none"/>
              </w:rPr>
            </w:pPr>
            <w:r>
              <w:rPr>
                <w:rFonts w:hint="eastAsia" w:ascii="仿宋_GB2312" w:hAnsi="宋体" w:eastAsia="仿宋_GB2312" w:cs="仿宋_GB2312"/>
                <w:color w:val="000000"/>
                <w:sz w:val="22"/>
                <w:szCs w:val="22"/>
                <w:highlight w:val="none"/>
              </w:rPr>
              <w:t>北京市海淀区教育委员会</w:t>
            </w:r>
          </w:p>
        </w:tc>
        <w:tc>
          <w:tcPr>
            <w:tcW w:w="447" w:type="pct"/>
            <w:noWrap/>
            <w:vAlign w:val="center"/>
          </w:tcPr>
          <w:p w14:paraId="35A65055">
            <w:pPr>
              <w:widowControl/>
              <w:jc w:val="left"/>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实施单位</w:t>
            </w:r>
          </w:p>
        </w:tc>
        <w:tc>
          <w:tcPr>
            <w:tcW w:w="1670" w:type="pct"/>
            <w:gridSpan w:val="4"/>
            <w:noWrap/>
            <w:vAlign w:val="center"/>
          </w:tcPr>
          <w:p w14:paraId="420D52E3">
            <w:pPr>
              <w:jc w:val="center"/>
              <w:rPr>
                <w:rFonts w:hint="eastAsia" w:ascii="仿宋_GB2312" w:hAnsi="宋体" w:eastAsia="仿宋_GB2312" w:cs="仿宋_GB2312"/>
                <w:color w:val="000000"/>
                <w:sz w:val="22"/>
                <w:szCs w:val="22"/>
                <w:highlight w:val="none"/>
              </w:rPr>
            </w:pPr>
            <w:r>
              <w:rPr>
                <w:rFonts w:hint="eastAsia" w:ascii="仿宋_GB2312" w:hAnsi="宋体" w:eastAsia="仿宋_GB2312" w:cs="仿宋_GB2312"/>
                <w:color w:val="000000"/>
                <w:sz w:val="22"/>
                <w:szCs w:val="22"/>
                <w:highlight w:val="none"/>
              </w:rPr>
              <w:t>北京市海淀区教育委员会</w:t>
            </w:r>
          </w:p>
        </w:tc>
      </w:tr>
      <w:tr w14:paraId="2FB7E0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657" w:type="pct"/>
            <w:gridSpan w:val="2"/>
            <w:vMerge w:val="restart"/>
            <w:noWrap w:val="0"/>
            <w:vAlign w:val="center"/>
          </w:tcPr>
          <w:p w14:paraId="7395B250">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项目资金</w:t>
            </w:r>
            <w:r>
              <w:rPr>
                <w:rFonts w:hint="eastAsia" w:ascii="宋体" w:hAnsi="宋体" w:cs="宋体"/>
                <w:color w:val="000000"/>
                <w:kern w:val="0"/>
                <w:sz w:val="22"/>
                <w:szCs w:val="22"/>
                <w:highlight w:val="none"/>
                <w:lang w:bidi="ar"/>
              </w:rPr>
              <w:br w:type="textWrapping"/>
            </w:r>
            <w:r>
              <w:rPr>
                <w:rFonts w:hint="eastAsia" w:ascii="宋体" w:hAnsi="宋体" w:cs="宋体"/>
                <w:color w:val="000000"/>
                <w:kern w:val="0"/>
                <w:sz w:val="22"/>
                <w:szCs w:val="22"/>
                <w:highlight w:val="none"/>
                <w:lang w:bidi="ar"/>
              </w:rPr>
              <w:t>（万元）</w:t>
            </w:r>
          </w:p>
        </w:tc>
        <w:tc>
          <w:tcPr>
            <w:tcW w:w="1252" w:type="pct"/>
            <w:gridSpan w:val="2"/>
            <w:noWrap/>
            <w:vAlign w:val="center"/>
          </w:tcPr>
          <w:p w14:paraId="3828E4CE">
            <w:pPr>
              <w:jc w:val="center"/>
              <w:rPr>
                <w:rFonts w:hint="eastAsia" w:ascii="宋体" w:hAnsi="宋体" w:cs="宋体"/>
                <w:color w:val="000000"/>
                <w:sz w:val="22"/>
                <w:szCs w:val="22"/>
                <w:highlight w:val="none"/>
              </w:rPr>
            </w:pPr>
          </w:p>
        </w:tc>
        <w:tc>
          <w:tcPr>
            <w:tcW w:w="487" w:type="pct"/>
            <w:noWrap/>
            <w:vAlign w:val="center"/>
          </w:tcPr>
          <w:p w14:paraId="5BB7FC7A">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年初预算数</w:t>
            </w:r>
          </w:p>
        </w:tc>
        <w:tc>
          <w:tcPr>
            <w:tcW w:w="485" w:type="pct"/>
            <w:noWrap/>
            <w:vAlign w:val="center"/>
          </w:tcPr>
          <w:p w14:paraId="30B28C45">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全年预算数</w:t>
            </w:r>
          </w:p>
        </w:tc>
        <w:tc>
          <w:tcPr>
            <w:tcW w:w="447" w:type="pct"/>
            <w:noWrap/>
            <w:vAlign w:val="center"/>
          </w:tcPr>
          <w:p w14:paraId="6C88F941">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全年执行数</w:t>
            </w:r>
          </w:p>
        </w:tc>
        <w:tc>
          <w:tcPr>
            <w:tcW w:w="365" w:type="pct"/>
            <w:noWrap w:val="0"/>
            <w:vAlign w:val="center"/>
          </w:tcPr>
          <w:p w14:paraId="03D67E93">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权重(%)</w:t>
            </w:r>
          </w:p>
        </w:tc>
        <w:tc>
          <w:tcPr>
            <w:tcW w:w="435" w:type="pct"/>
            <w:noWrap/>
            <w:vAlign w:val="center"/>
          </w:tcPr>
          <w:p w14:paraId="06F7BE76">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执行率</w:t>
            </w:r>
          </w:p>
        </w:tc>
        <w:tc>
          <w:tcPr>
            <w:tcW w:w="325" w:type="pct"/>
            <w:noWrap/>
            <w:vAlign w:val="center"/>
          </w:tcPr>
          <w:p w14:paraId="680932E3">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自评</w:t>
            </w:r>
            <w:r>
              <w:rPr>
                <w:rFonts w:hint="eastAsia" w:ascii="宋体" w:hAnsi="宋体" w:cs="宋体"/>
                <w:color w:val="000000"/>
                <w:kern w:val="0"/>
                <w:sz w:val="22"/>
                <w:szCs w:val="22"/>
                <w:highlight w:val="none"/>
                <w:lang w:bidi="ar"/>
              </w:rPr>
              <w:br w:type="textWrapping"/>
            </w:r>
            <w:r>
              <w:rPr>
                <w:rFonts w:hint="eastAsia" w:ascii="宋体" w:hAnsi="宋体" w:cs="宋体"/>
                <w:color w:val="000000"/>
                <w:kern w:val="0"/>
                <w:sz w:val="22"/>
                <w:szCs w:val="22"/>
                <w:highlight w:val="none"/>
                <w:lang w:bidi="ar"/>
              </w:rPr>
              <w:t>得分</w:t>
            </w:r>
          </w:p>
        </w:tc>
        <w:tc>
          <w:tcPr>
            <w:tcW w:w="543" w:type="pct"/>
            <w:noWrap/>
            <w:vAlign w:val="center"/>
          </w:tcPr>
          <w:p w14:paraId="14FE1EC3">
            <w:pPr>
              <w:jc w:val="center"/>
              <w:rPr>
                <w:rFonts w:hint="eastAsia" w:ascii="宋体" w:hAnsi="宋体" w:cs="宋体"/>
                <w:color w:val="000000"/>
                <w:sz w:val="22"/>
                <w:szCs w:val="22"/>
                <w:highlight w:val="none"/>
              </w:rPr>
            </w:pPr>
          </w:p>
        </w:tc>
      </w:tr>
      <w:tr w14:paraId="3027F2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657" w:type="pct"/>
            <w:gridSpan w:val="2"/>
            <w:vMerge w:val="continue"/>
            <w:noWrap w:val="0"/>
            <w:vAlign w:val="center"/>
          </w:tcPr>
          <w:p w14:paraId="059072A7">
            <w:pPr>
              <w:jc w:val="center"/>
              <w:rPr>
                <w:rFonts w:hint="eastAsia" w:ascii="宋体" w:hAnsi="宋体" w:cs="宋体"/>
                <w:color w:val="000000"/>
                <w:sz w:val="22"/>
                <w:szCs w:val="22"/>
                <w:highlight w:val="none"/>
              </w:rPr>
            </w:pPr>
          </w:p>
        </w:tc>
        <w:tc>
          <w:tcPr>
            <w:tcW w:w="1252" w:type="pct"/>
            <w:gridSpan w:val="2"/>
            <w:noWrap/>
            <w:vAlign w:val="center"/>
          </w:tcPr>
          <w:p w14:paraId="63A4E050">
            <w:pP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年度资金总额</w:t>
            </w:r>
          </w:p>
        </w:tc>
        <w:tc>
          <w:tcPr>
            <w:tcW w:w="487" w:type="pct"/>
            <w:noWrap/>
            <w:vAlign w:val="center"/>
          </w:tcPr>
          <w:p w14:paraId="1D2AD273">
            <w:pPr>
              <w:jc w:val="center"/>
              <w:rPr>
                <w:rFonts w:hint="default" w:ascii="仿宋_GB2312" w:hAnsi="宋体" w:eastAsia="仿宋_GB2312" w:cs="仿宋_GB2312"/>
                <w:color w:val="000000"/>
                <w:sz w:val="22"/>
                <w:szCs w:val="22"/>
                <w:highlight w:val="none"/>
                <w:lang w:val="en-US" w:eastAsia="zh-CN"/>
              </w:rPr>
            </w:pPr>
            <w:r>
              <w:rPr>
                <w:rFonts w:hint="eastAsia" w:ascii="仿宋_GB2312" w:hAnsi="宋体" w:eastAsia="仿宋_GB2312" w:cs="仿宋_GB2312"/>
                <w:i w:val="0"/>
                <w:iCs w:val="0"/>
                <w:color w:val="000000"/>
                <w:kern w:val="0"/>
                <w:sz w:val="22"/>
                <w:szCs w:val="22"/>
                <w:highlight w:val="none"/>
                <w:u w:val="none"/>
                <w:lang w:val="en-US" w:eastAsia="zh-CN" w:bidi="ar"/>
              </w:rPr>
              <w:t>86,832.53</w:t>
            </w:r>
          </w:p>
        </w:tc>
        <w:tc>
          <w:tcPr>
            <w:tcW w:w="485" w:type="pct"/>
            <w:noWrap/>
            <w:vAlign w:val="center"/>
          </w:tcPr>
          <w:p w14:paraId="74ACA5AD">
            <w:pPr>
              <w:keepNext w:val="0"/>
              <w:keepLines w:val="0"/>
              <w:widowControl/>
              <w:suppressLineNumbers w:val="0"/>
              <w:jc w:val="center"/>
              <w:textAlignment w:val="center"/>
              <w:rPr>
                <w:rFonts w:hint="eastAsia" w:ascii="仿宋_GB2312" w:hAnsi="宋体" w:eastAsia="仿宋_GB2312" w:cs="仿宋_GB2312"/>
                <w:color w:val="000000"/>
                <w:sz w:val="22"/>
                <w:szCs w:val="22"/>
                <w:highlight w:val="none"/>
              </w:rPr>
            </w:pPr>
            <w:r>
              <w:rPr>
                <w:rFonts w:hint="eastAsia" w:ascii="仿宋_GB2312" w:hAnsi="宋体" w:eastAsia="仿宋_GB2312" w:cs="仿宋_GB2312"/>
                <w:i w:val="0"/>
                <w:iCs w:val="0"/>
                <w:color w:val="000000"/>
                <w:kern w:val="0"/>
                <w:sz w:val="22"/>
                <w:szCs w:val="22"/>
                <w:highlight w:val="none"/>
                <w:u w:val="none"/>
                <w:lang w:val="en-US" w:eastAsia="zh-CN" w:bidi="ar"/>
              </w:rPr>
              <w:t xml:space="preserve"> 92,747.35 </w:t>
            </w:r>
          </w:p>
        </w:tc>
        <w:tc>
          <w:tcPr>
            <w:tcW w:w="447" w:type="pct"/>
            <w:noWrap/>
            <w:vAlign w:val="center"/>
          </w:tcPr>
          <w:p w14:paraId="5342622A">
            <w:pPr>
              <w:keepNext w:val="0"/>
              <w:keepLines w:val="0"/>
              <w:widowControl/>
              <w:suppressLineNumbers w:val="0"/>
              <w:jc w:val="center"/>
              <w:textAlignment w:val="center"/>
              <w:rPr>
                <w:rFonts w:hint="eastAsia" w:ascii="仿宋_GB2312" w:hAnsi="宋体" w:eastAsia="仿宋_GB2312" w:cs="仿宋_GB2312"/>
                <w:color w:val="000000"/>
                <w:sz w:val="22"/>
                <w:szCs w:val="22"/>
                <w:highlight w:val="none"/>
              </w:rPr>
            </w:pPr>
            <w:r>
              <w:rPr>
                <w:rFonts w:hint="eastAsia" w:ascii="仿宋_GB2312" w:hAnsi="宋体" w:eastAsia="仿宋_GB2312" w:cs="仿宋_GB2312"/>
                <w:i w:val="0"/>
                <w:iCs w:val="0"/>
                <w:color w:val="000000"/>
                <w:kern w:val="0"/>
                <w:sz w:val="22"/>
                <w:szCs w:val="22"/>
                <w:highlight w:val="none"/>
                <w:u w:val="none"/>
                <w:lang w:val="en-US" w:eastAsia="zh-CN" w:bidi="ar"/>
              </w:rPr>
              <w:t xml:space="preserve"> 92,649.25 </w:t>
            </w:r>
          </w:p>
        </w:tc>
        <w:tc>
          <w:tcPr>
            <w:tcW w:w="365" w:type="pct"/>
            <w:noWrap/>
            <w:vAlign w:val="center"/>
          </w:tcPr>
          <w:p w14:paraId="2BF3E404">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10</w:t>
            </w:r>
          </w:p>
        </w:tc>
        <w:tc>
          <w:tcPr>
            <w:tcW w:w="435" w:type="pct"/>
            <w:noWrap/>
            <w:vAlign w:val="center"/>
          </w:tcPr>
          <w:p w14:paraId="10EBE9FC">
            <w:pPr>
              <w:keepNext w:val="0"/>
              <w:keepLines w:val="0"/>
              <w:widowControl/>
              <w:suppressLineNumbers w:val="0"/>
              <w:jc w:val="center"/>
              <w:textAlignment w:val="center"/>
              <w:rPr>
                <w:rFonts w:hint="eastAsia" w:ascii="仿宋_GB2312" w:hAnsi="宋体" w:eastAsia="仿宋_GB2312" w:cs="仿宋_GB2312"/>
                <w:color w:val="000000"/>
                <w:sz w:val="22"/>
                <w:szCs w:val="22"/>
                <w:highlight w:val="none"/>
              </w:rPr>
            </w:pPr>
            <w:r>
              <w:rPr>
                <w:rFonts w:hint="eastAsia" w:ascii="仿宋_GB2312" w:hAnsi="宋体" w:eastAsia="仿宋_GB2312" w:cs="仿宋_GB2312"/>
                <w:i w:val="0"/>
                <w:iCs w:val="0"/>
                <w:color w:val="000000"/>
                <w:kern w:val="0"/>
                <w:sz w:val="22"/>
                <w:szCs w:val="22"/>
                <w:highlight w:val="none"/>
                <w:u w:val="none"/>
                <w:lang w:val="en-US" w:eastAsia="zh-CN" w:bidi="ar"/>
              </w:rPr>
              <w:t>99.89%</w:t>
            </w:r>
          </w:p>
        </w:tc>
        <w:tc>
          <w:tcPr>
            <w:tcW w:w="325" w:type="pct"/>
            <w:noWrap/>
            <w:vAlign w:val="center"/>
          </w:tcPr>
          <w:p w14:paraId="33C1B1B7">
            <w:pPr>
              <w:keepNext w:val="0"/>
              <w:keepLines w:val="0"/>
              <w:widowControl/>
              <w:suppressLineNumbers w:val="0"/>
              <w:jc w:val="center"/>
              <w:textAlignment w:val="center"/>
              <w:rPr>
                <w:rFonts w:hint="eastAsia" w:ascii="仿宋_GB2312" w:hAnsi="宋体" w:eastAsia="仿宋_GB2312" w:cs="仿宋_GB2312"/>
                <w:color w:val="000000"/>
                <w:sz w:val="22"/>
                <w:szCs w:val="22"/>
                <w:highlight w:val="none"/>
              </w:rPr>
            </w:pPr>
            <w:r>
              <w:rPr>
                <w:rFonts w:hint="eastAsia" w:ascii="仿宋_GB2312" w:hAnsi="宋体" w:eastAsia="仿宋_GB2312" w:cs="仿宋_GB2312"/>
                <w:i w:val="0"/>
                <w:iCs w:val="0"/>
                <w:color w:val="000000"/>
                <w:kern w:val="0"/>
                <w:sz w:val="22"/>
                <w:szCs w:val="22"/>
                <w:highlight w:val="none"/>
                <w:u w:val="none"/>
                <w:lang w:val="en-US" w:eastAsia="zh-CN" w:bidi="ar"/>
              </w:rPr>
              <w:t xml:space="preserve">9.99 </w:t>
            </w:r>
          </w:p>
        </w:tc>
        <w:tc>
          <w:tcPr>
            <w:tcW w:w="543" w:type="pct"/>
            <w:noWrap/>
            <w:vAlign w:val="center"/>
          </w:tcPr>
          <w:p w14:paraId="5E557696">
            <w:pPr>
              <w:jc w:val="center"/>
              <w:rPr>
                <w:rFonts w:hint="eastAsia" w:ascii="宋体" w:hAnsi="宋体" w:cs="宋体"/>
                <w:color w:val="000000"/>
                <w:sz w:val="22"/>
                <w:szCs w:val="22"/>
                <w:highlight w:val="none"/>
              </w:rPr>
            </w:pPr>
          </w:p>
        </w:tc>
      </w:tr>
      <w:tr w14:paraId="572175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657" w:type="pct"/>
            <w:gridSpan w:val="2"/>
            <w:vMerge w:val="continue"/>
            <w:noWrap w:val="0"/>
            <w:vAlign w:val="center"/>
          </w:tcPr>
          <w:p w14:paraId="2A89B115">
            <w:pPr>
              <w:jc w:val="center"/>
              <w:rPr>
                <w:rFonts w:hint="eastAsia" w:ascii="宋体" w:hAnsi="宋体" w:cs="宋体"/>
                <w:color w:val="000000"/>
                <w:sz w:val="22"/>
                <w:szCs w:val="22"/>
                <w:highlight w:val="none"/>
              </w:rPr>
            </w:pPr>
          </w:p>
        </w:tc>
        <w:tc>
          <w:tcPr>
            <w:tcW w:w="1252" w:type="pct"/>
            <w:gridSpan w:val="2"/>
            <w:noWrap/>
            <w:vAlign w:val="center"/>
          </w:tcPr>
          <w:p w14:paraId="23F0F380">
            <w:pP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其中：当年财政拨款</w:t>
            </w:r>
          </w:p>
        </w:tc>
        <w:tc>
          <w:tcPr>
            <w:tcW w:w="487" w:type="pct"/>
            <w:noWrap/>
            <w:vAlign w:val="center"/>
          </w:tcPr>
          <w:p w14:paraId="3A1D5F86">
            <w:pPr>
              <w:jc w:val="center"/>
              <w:rPr>
                <w:rFonts w:hint="eastAsia" w:ascii="仿宋_GB2312" w:hAnsi="宋体" w:eastAsia="仿宋_GB2312" w:cs="仿宋_GB2312"/>
                <w:i w:val="0"/>
                <w:iCs w:val="0"/>
                <w:color w:val="000000"/>
                <w:kern w:val="0"/>
                <w:sz w:val="22"/>
                <w:szCs w:val="22"/>
                <w:highlight w:val="none"/>
                <w:u w:val="none"/>
                <w:lang w:val="en-US" w:eastAsia="zh-CN" w:bidi="ar"/>
              </w:rPr>
            </w:pPr>
            <w:r>
              <w:rPr>
                <w:rFonts w:hint="eastAsia" w:ascii="仿宋_GB2312" w:hAnsi="宋体" w:eastAsia="仿宋_GB2312" w:cs="仿宋_GB2312"/>
                <w:i w:val="0"/>
                <w:iCs w:val="0"/>
                <w:color w:val="000000"/>
                <w:kern w:val="0"/>
                <w:sz w:val="22"/>
                <w:szCs w:val="22"/>
                <w:highlight w:val="none"/>
                <w:u w:val="none"/>
                <w:lang w:val="en-US" w:eastAsia="zh-CN" w:bidi="ar"/>
              </w:rPr>
              <w:t xml:space="preserve"> 86,327.26 </w:t>
            </w:r>
          </w:p>
        </w:tc>
        <w:tc>
          <w:tcPr>
            <w:tcW w:w="485" w:type="pct"/>
            <w:noWrap/>
            <w:vAlign w:val="center"/>
          </w:tcPr>
          <w:p w14:paraId="57F06A13">
            <w:pPr>
              <w:jc w:val="center"/>
              <w:rPr>
                <w:rFonts w:hint="eastAsia" w:ascii="仿宋_GB2312" w:hAnsi="宋体" w:eastAsia="仿宋_GB2312" w:cs="仿宋_GB2312"/>
                <w:i w:val="0"/>
                <w:iCs w:val="0"/>
                <w:color w:val="000000"/>
                <w:kern w:val="0"/>
                <w:sz w:val="22"/>
                <w:szCs w:val="22"/>
                <w:highlight w:val="none"/>
                <w:u w:val="none"/>
                <w:lang w:val="en-US" w:eastAsia="zh-CN" w:bidi="ar"/>
              </w:rPr>
            </w:pPr>
            <w:r>
              <w:rPr>
                <w:rFonts w:hint="eastAsia" w:ascii="仿宋_GB2312" w:hAnsi="宋体" w:eastAsia="仿宋_GB2312" w:cs="仿宋_GB2312"/>
                <w:i w:val="0"/>
                <w:iCs w:val="0"/>
                <w:color w:val="000000"/>
                <w:kern w:val="0"/>
                <w:sz w:val="22"/>
                <w:szCs w:val="22"/>
                <w:highlight w:val="none"/>
                <w:u w:val="none"/>
                <w:lang w:val="en-US" w:eastAsia="zh-CN" w:bidi="ar"/>
              </w:rPr>
              <w:t xml:space="preserve"> 92,271.39 </w:t>
            </w:r>
          </w:p>
        </w:tc>
        <w:tc>
          <w:tcPr>
            <w:tcW w:w="447" w:type="pct"/>
            <w:noWrap/>
            <w:vAlign w:val="center"/>
          </w:tcPr>
          <w:p w14:paraId="4B414C7F">
            <w:pPr>
              <w:jc w:val="center"/>
              <w:rPr>
                <w:rFonts w:hint="eastAsia" w:ascii="仿宋_GB2312" w:hAnsi="宋体" w:eastAsia="仿宋_GB2312" w:cs="仿宋_GB2312"/>
                <w:i w:val="0"/>
                <w:iCs w:val="0"/>
                <w:color w:val="000000"/>
                <w:kern w:val="0"/>
                <w:sz w:val="22"/>
                <w:szCs w:val="22"/>
                <w:highlight w:val="none"/>
                <w:u w:val="none"/>
                <w:lang w:val="en-US" w:eastAsia="zh-CN" w:bidi="ar"/>
              </w:rPr>
            </w:pPr>
            <w:r>
              <w:rPr>
                <w:rFonts w:hint="eastAsia" w:ascii="仿宋_GB2312" w:hAnsi="宋体" w:eastAsia="仿宋_GB2312" w:cs="仿宋_GB2312"/>
                <w:i w:val="0"/>
                <w:iCs w:val="0"/>
                <w:color w:val="000000"/>
                <w:kern w:val="0"/>
                <w:sz w:val="22"/>
                <w:szCs w:val="22"/>
                <w:highlight w:val="none"/>
                <w:u w:val="none"/>
                <w:lang w:val="en-US" w:eastAsia="zh-CN" w:bidi="ar"/>
              </w:rPr>
              <w:t xml:space="preserve"> 92,202.77 </w:t>
            </w:r>
          </w:p>
        </w:tc>
        <w:tc>
          <w:tcPr>
            <w:tcW w:w="365" w:type="pct"/>
            <w:noWrap/>
            <w:vAlign w:val="center"/>
          </w:tcPr>
          <w:p w14:paraId="275EAC0F">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w:t>
            </w:r>
          </w:p>
        </w:tc>
        <w:tc>
          <w:tcPr>
            <w:tcW w:w="435" w:type="pct"/>
            <w:noWrap/>
            <w:vAlign w:val="center"/>
          </w:tcPr>
          <w:p w14:paraId="4B553768">
            <w:pPr>
              <w:jc w:val="center"/>
              <w:rPr>
                <w:rFonts w:hint="eastAsia" w:ascii="仿宋_GB2312" w:hAnsi="宋体" w:eastAsia="仿宋_GB2312" w:cs="仿宋_GB2312"/>
                <w:color w:val="000000"/>
                <w:sz w:val="22"/>
                <w:szCs w:val="22"/>
                <w:highlight w:val="none"/>
              </w:rPr>
            </w:pPr>
            <w:r>
              <w:rPr>
                <w:rFonts w:hint="eastAsia" w:ascii="仿宋_GB2312" w:hAnsi="宋体" w:eastAsia="仿宋_GB2312" w:cs="仿宋_GB2312"/>
                <w:i w:val="0"/>
                <w:iCs w:val="0"/>
                <w:color w:val="000000"/>
                <w:kern w:val="0"/>
                <w:sz w:val="22"/>
                <w:szCs w:val="22"/>
                <w:highlight w:val="none"/>
                <w:u w:val="none"/>
                <w:lang w:val="en-US" w:eastAsia="zh-CN" w:bidi="ar"/>
              </w:rPr>
              <w:t>99.93%</w:t>
            </w:r>
          </w:p>
        </w:tc>
        <w:tc>
          <w:tcPr>
            <w:tcW w:w="325" w:type="pct"/>
            <w:noWrap/>
            <w:vAlign w:val="center"/>
          </w:tcPr>
          <w:p w14:paraId="2887F2A7">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w:t>
            </w:r>
          </w:p>
        </w:tc>
        <w:tc>
          <w:tcPr>
            <w:tcW w:w="543" w:type="pct"/>
            <w:noWrap/>
            <w:vAlign w:val="center"/>
          </w:tcPr>
          <w:p w14:paraId="229F443A">
            <w:pPr>
              <w:jc w:val="center"/>
              <w:rPr>
                <w:rFonts w:hint="eastAsia" w:ascii="宋体" w:hAnsi="宋体" w:cs="宋体"/>
                <w:color w:val="000000"/>
                <w:sz w:val="22"/>
                <w:szCs w:val="22"/>
                <w:highlight w:val="none"/>
              </w:rPr>
            </w:pPr>
          </w:p>
        </w:tc>
      </w:tr>
      <w:tr w14:paraId="55B77E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657" w:type="pct"/>
            <w:gridSpan w:val="2"/>
            <w:vMerge w:val="continue"/>
            <w:noWrap w:val="0"/>
            <w:vAlign w:val="center"/>
          </w:tcPr>
          <w:p w14:paraId="2BAD4FB2">
            <w:pPr>
              <w:jc w:val="center"/>
              <w:rPr>
                <w:rFonts w:hint="eastAsia" w:ascii="宋体" w:hAnsi="宋体" w:cs="宋体"/>
                <w:color w:val="000000"/>
                <w:sz w:val="22"/>
                <w:szCs w:val="22"/>
                <w:highlight w:val="none"/>
              </w:rPr>
            </w:pPr>
          </w:p>
        </w:tc>
        <w:tc>
          <w:tcPr>
            <w:tcW w:w="1252" w:type="pct"/>
            <w:gridSpan w:val="2"/>
            <w:noWrap/>
            <w:vAlign w:val="center"/>
          </w:tcPr>
          <w:p w14:paraId="0024A753">
            <w:pP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 xml:space="preserve">      上年结转资金</w:t>
            </w:r>
          </w:p>
        </w:tc>
        <w:tc>
          <w:tcPr>
            <w:tcW w:w="487" w:type="pct"/>
            <w:noWrap/>
            <w:vAlign w:val="center"/>
          </w:tcPr>
          <w:p w14:paraId="3EECA621">
            <w:pPr>
              <w:jc w:val="center"/>
              <w:rPr>
                <w:rFonts w:hint="default" w:ascii="仿宋_GB2312" w:hAnsi="宋体" w:eastAsia="仿宋_GB2312" w:cs="仿宋_GB2312"/>
                <w:i w:val="0"/>
                <w:iCs w:val="0"/>
                <w:color w:val="000000"/>
                <w:kern w:val="0"/>
                <w:sz w:val="22"/>
                <w:szCs w:val="22"/>
                <w:highlight w:val="none"/>
                <w:u w:val="none"/>
                <w:lang w:val="en-US" w:eastAsia="zh-CN" w:bidi="ar"/>
              </w:rPr>
            </w:pPr>
            <w:r>
              <w:rPr>
                <w:rFonts w:hint="eastAsia" w:ascii="仿宋_GB2312" w:hAnsi="宋体" w:eastAsia="仿宋_GB2312" w:cs="仿宋_GB2312"/>
                <w:i w:val="0"/>
                <w:iCs w:val="0"/>
                <w:color w:val="000000"/>
                <w:kern w:val="0"/>
                <w:sz w:val="22"/>
                <w:szCs w:val="22"/>
                <w:highlight w:val="none"/>
                <w:u w:val="none"/>
                <w:lang w:val="en-US" w:eastAsia="zh-CN" w:bidi="ar"/>
              </w:rPr>
              <w:t xml:space="preserve">    505.27 </w:t>
            </w:r>
          </w:p>
        </w:tc>
        <w:tc>
          <w:tcPr>
            <w:tcW w:w="485" w:type="pct"/>
            <w:noWrap/>
            <w:vAlign w:val="center"/>
          </w:tcPr>
          <w:p w14:paraId="2C211216">
            <w:pPr>
              <w:jc w:val="center"/>
              <w:rPr>
                <w:rFonts w:hint="eastAsia" w:ascii="仿宋_GB2312" w:hAnsi="宋体" w:eastAsia="仿宋_GB2312" w:cs="仿宋_GB2312"/>
                <w:i w:val="0"/>
                <w:iCs w:val="0"/>
                <w:color w:val="000000"/>
                <w:kern w:val="0"/>
                <w:sz w:val="22"/>
                <w:szCs w:val="22"/>
                <w:highlight w:val="none"/>
                <w:u w:val="none"/>
                <w:lang w:val="en-US" w:eastAsia="zh-CN" w:bidi="ar"/>
              </w:rPr>
            </w:pPr>
            <w:r>
              <w:rPr>
                <w:rFonts w:hint="eastAsia" w:ascii="仿宋_GB2312" w:hAnsi="宋体" w:eastAsia="仿宋_GB2312" w:cs="仿宋_GB2312"/>
                <w:i w:val="0"/>
                <w:iCs w:val="0"/>
                <w:color w:val="000000"/>
                <w:kern w:val="0"/>
                <w:sz w:val="22"/>
                <w:szCs w:val="22"/>
                <w:highlight w:val="none"/>
                <w:u w:val="none"/>
                <w:lang w:val="en-US" w:eastAsia="zh-CN" w:bidi="ar"/>
              </w:rPr>
              <w:t xml:space="preserve">    475.96 </w:t>
            </w:r>
          </w:p>
        </w:tc>
        <w:tc>
          <w:tcPr>
            <w:tcW w:w="447" w:type="pct"/>
            <w:noWrap/>
            <w:vAlign w:val="center"/>
          </w:tcPr>
          <w:p w14:paraId="72706CD7">
            <w:pPr>
              <w:jc w:val="center"/>
              <w:rPr>
                <w:rFonts w:hint="eastAsia" w:ascii="仿宋_GB2312" w:hAnsi="宋体" w:eastAsia="仿宋_GB2312" w:cs="仿宋_GB2312"/>
                <w:i w:val="0"/>
                <w:iCs w:val="0"/>
                <w:color w:val="000000"/>
                <w:kern w:val="0"/>
                <w:sz w:val="22"/>
                <w:szCs w:val="22"/>
                <w:highlight w:val="none"/>
                <w:u w:val="none"/>
                <w:lang w:val="en-US" w:eastAsia="zh-CN" w:bidi="ar"/>
              </w:rPr>
            </w:pPr>
            <w:r>
              <w:rPr>
                <w:rFonts w:hint="eastAsia" w:ascii="仿宋_GB2312" w:hAnsi="宋体" w:eastAsia="仿宋_GB2312" w:cs="仿宋_GB2312"/>
                <w:i w:val="0"/>
                <w:iCs w:val="0"/>
                <w:color w:val="000000"/>
                <w:kern w:val="0"/>
                <w:sz w:val="22"/>
                <w:szCs w:val="22"/>
                <w:highlight w:val="none"/>
                <w:u w:val="none"/>
                <w:lang w:val="en-US" w:eastAsia="zh-CN" w:bidi="ar"/>
              </w:rPr>
              <w:t xml:space="preserve">    446.48 </w:t>
            </w:r>
          </w:p>
        </w:tc>
        <w:tc>
          <w:tcPr>
            <w:tcW w:w="365" w:type="pct"/>
            <w:noWrap/>
            <w:vAlign w:val="center"/>
          </w:tcPr>
          <w:p w14:paraId="044B9897">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w:t>
            </w:r>
          </w:p>
        </w:tc>
        <w:tc>
          <w:tcPr>
            <w:tcW w:w="435" w:type="pct"/>
            <w:noWrap/>
            <w:vAlign w:val="center"/>
          </w:tcPr>
          <w:p w14:paraId="1C0541B8">
            <w:pPr>
              <w:jc w:val="center"/>
              <w:rPr>
                <w:rFonts w:hint="default" w:ascii="仿宋_GB2312" w:hAnsi="宋体" w:eastAsia="仿宋_GB2312" w:cs="仿宋_GB2312"/>
                <w:color w:val="000000"/>
                <w:sz w:val="22"/>
                <w:szCs w:val="22"/>
                <w:highlight w:val="none"/>
                <w:lang w:val="en-US" w:eastAsia="zh-CN"/>
              </w:rPr>
            </w:pPr>
            <w:r>
              <w:rPr>
                <w:rFonts w:hint="eastAsia" w:ascii="仿宋_GB2312" w:hAnsi="宋体" w:eastAsia="仿宋_GB2312" w:cs="仿宋_GB2312"/>
                <w:color w:val="000000"/>
                <w:sz w:val="22"/>
                <w:szCs w:val="22"/>
                <w:highlight w:val="none"/>
                <w:lang w:val="en-US" w:eastAsia="zh-CN"/>
              </w:rPr>
              <w:t>93.81%</w:t>
            </w:r>
          </w:p>
        </w:tc>
        <w:tc>
          <w:tcPr>
            <w:tcW w:w="325" w:type="pct"/>
            <w:noWrap/>
            <w:vAlign w:val="center"/>
          </w:tcPr>
          <w:p w14:paraId="2637BF09">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w:t>
            </w:r>
          </w:p>
        </w:tc>
        <w:tc>
          <w:tcPr>
            <w:tcW w:w="543" w:type="pct"/>
            <w:noWrap/>
            <w:vAlign w:val="center"/>
          </w:tcPr>
          <w:p w14:paraId="7528DD79">
            <w:pPr>
              <w:jc w:val="center"/>
              <w:rPr>
                <w:rFonts w:hint="eastAsia" w:ascii="宋体" w:hAnsi="宋体" w:cs="宋体"/>
                <w:color w:val="000000"/>
                <w:sz w:val="22"/>
                <w:szCs w:val="22"/>
                <w:highlight w:val="none"/>
              </w:rPr>
            </w:pPr>
          </w:p>
        </w:tc>
      </w:tr>
      <w:tr w14:paraId="2167D6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52" w:hRule="atLeast"/>
        </w:trPr>
        <w:tc>
          <w:tcPr>
            <w:tcW w:w="657" w:type="pct"/>
            <w:gridSpan w:val="2"/>
            <w:vMerge w:val="continue"/>
            <w:noWrap w:val="0"/>
            <w:vAlign w:val="center"/>
          </w:tcPr>
          <w:p w14:paraId="4395B079">
            <w:pPr>
              <w:jc w:val="center"/>
              <w:rPr>
                <w:rFonts w:hint="eastAsia" w:ascii="宋体" w:hAnsi="宋体" w:cs="宋体"/>
                <w:color w:val="000000"/>
                <w:sz w:val="22"/>
                <w:szCs w:val="22"/>
                <w:highlight w:val="none"/>
              </w:rPr>
            </w:pPr>
          </w:p>
        </w:tc>
        <w:tc>
          <w:tcPr>
            <w:tcW w:w="1252" w:type="pct"/>
            <w:gridSpan w:val="2"/>
            <w:noWrap/>
            <w:vAlign w:val="center"/>
          </w:tcPr>
          <w:p w14:paraId="2C1C9C74">
            <w:pP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 xml:space="preserve">      其他资金</w:t>
            </w:r>
          </w:p>
        </w:tc>
        <w:tc>
          <w:tcPr>
            <w:tcW w:w="487" w:type="pct"/>
            <w:noWrap/>
            <w:vAlign w:val="center"/>
          </w:tcPr>
          <w:p w14:paraId="498E7A5A">
            <w:pPr>
              <w:jc w:val="center"/>
              <w:rPr>
                <w:rFonts w:hint="eastAsia" w:ascii="仿宋_GB2312" w:hAnsi="宋体" w:eastAsia="仿宋_GB2312" w:cs="仿宋_GB2312"/>
                <w:color w:val="000000"/>
                <w:sz w:val="22"/>
                <w:szCs w:val="22"/>
                <w:highlight w:val="none"/>
              </w:rPr>
            </w:pPr>
          </w:p>
        </w:tc>
        <w:tc>
          <w:tcPr>
            <w:tcW w:w="485" w:type="pct"/>
            <w:noWrap/>
            <w:vAlign w:val="center"/>
          </w:tcPr>
          <w:p w14:paraId="20762AE0">
            <w:pPr>
              <w:jc w:val="center"/>
              <w:rPr>
                <w:rFonts w:hint="eastAsia" w:ascii="仿宋_GB2312" w:hAnsi="宋体" w:eastAsia="仿宋_GB2312" w:cs="仿宋_GB2312"/>
                <w:color w:val="000000"/>
                <w:sz w:val="22"/>
                <w:szCs w:val="22"/>
                <w:highlight w:val="none"/>
              </w:rPr>
            </w:pPr>
          </w:p>
        </w:tc>
        <w:tc>
          <w:tcPr>
            <w:tcW w:w="447" w:type="pct"/>
            <w:noWrap/>
            <w:vAlign w:val="center"/>
          </w:tcPr>
          <w:p w14:paraId="02DB2645">
            <w:pPr>
              <w:jc w:val="center"/>
              <w:rPr>
                <w:rFonts w:hint="eastAsia" w:ascii="仿宋_GB2312" w:hAnsi="宋体" w:eastAsia="仿宋_GB2312" w:cs="仿宋_GB2312"/>
                <w:color w:val="000000"/>
                <w:sz w:val="22"/>
                <w:szCs w:val="22"/>
                <w:highlight w:val="none"/>
              </w:rPr>
            </w:pPr>
          </w:p>
        </w:tc>
        <w:tc>
          <w:tcPr>
            <w:tcW w:w="365" w:type="pct"/>
            <w:noWrap/>
            <w:vAlign w:val="center"/>
          </w:tcPr>
          <w:p w14:paraId="62AFC40E">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w:t>
            </w:r>
          </w:p>
        </w:tc>
        <w:tc>
          <w:tcPr>
            <w:tcW w:w="435" w:type="pct"/>
            <w:noWrap/>
            <w:vAlign w:val="center"/>
          </w:tcPr>
          <w:p w14:paraId="31E48184">
            <w:pPr>
              <w:jc w:val="center"/>
              <w:rPr>
                <w:rFonts w:hint="eastAsia" w:ascii="仿宋_GB2312" w:hAnsi="宋体" w:eastAsia="仿宋_GB2312" w:cs="仿宋_GB2312"/>
                <w:color w:val="000000"/>
                <w:sz w:val="22"/>
                <w:szCs w:val="22"/>
                <w:highlight w:val="none"/>
              </w:rPr>
            </w:pPr>
          </w:p>
        </w:tc>
        <w:tc>
          <w:tcPr>
            <w:tcW w:w="325" w:type="pct"/>
            <w:noWrap/>
            <w:vAlign w:val="center"/>
          </w:tcPr>
          <w:p w14:paraId="23244003">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w:t>
            </w:r>
          </w:p>
        </w:tc>
        <w:tc>
          <w:tcPr>
            <w:tcW w:w="543" w:type="pct"/>
            <w:noWrap/>
            <w:vAlign w:val="center"/>
          </w:tcPr>
          <w:p w14:paraId="4AE68E90">
            <w:pPr>
              <w:jc w:val="center"/>
              <w:rPr>
                <w:rFonts w:hint="eastAsia" w:ascii="宋体" w:hAnsi="宋体" w:cs="宋体"/>
                <w:color w:val="000000"/>
                <w:sz w:val="22"/>
                <w:szCs w:val="22"/>
                <w:highlight w:val="none"/>
              </w:rPr>
            </w:pPr>
          </w:p>
        </w:tc>
      </w:tr>
      <w:tr w14:paraId="361541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97" w:hRule="atLeast"/>
        </w:trPr>
        <w:tc>
          <w:tcPr>
            <w:tcW w:w="267" w:type="pct"/>
            <w:vMerge w:val="restart"/>
            <w:noWrap/>
            <w:textDirection w:val="tbRlV"/>
            <w:vAlign w:val="center"/>
          </w:tcPr>
          <w:p w14:paraId="4748B44F">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年度总体目标</w:t>
            </w:r>
          </w:p>
        </w:tc>
        <w:tc>
          <w:tcPr>
            <w:tcW w:w="2614" w:type="pct"/>
            <w:gridSpan w:val="5"/>
            <w:noWrap/>
            <w:vAlign w:val="center"/>
          </w:tcPr>
          <w:p w14:paraId="03F8BA13">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预期目标</w:t>
            </w:r>
          </w:p>
        </w:tc>
        <w:tc>
          <w:tcPr>
            <w:tcW w:w="2117" w:type="pct"/>
            <w:gridSpan w:val="5"/>
            <w:noWrap/>
            <w:vAlign w:val="center"/>
          </w:tcPr>
          <w:p w14:paraId="37A48265">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实际完成情况</w:t>
            </w:r>
          </w:p>
        </w:tc>
      </w:tr>
      <w:tr w14:paraId="47A939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1520" w:hRule="atLeast"/>
        </w:trPr>
        <w:tc>
          <w:tcPr>
            <w:tcW w:w="267" w:type="pct"/>
            <w:vMerge w:val="continue"/>
            <w:noWrap/>
            <w:textDirection w:val="tbRlV"/>
            <w:vAlign w:val="center"/>
          </w:tcPr>
          <w:p w14:paraId="3414E3BE">
            <w:pPr>
              <w:jc w:val="center"/>
              <w:rPr>
                <w:rFonts w:hint="eastAsia" w:ascii="宋体" w:hAnsi="宋体" w:cs="宋体"/>
                <w:color w:val="000000"/>
                <w:sz w:val="22"/>
                <w:szCs w:val="22"/>
                <w:highlight w:val="none"/>
              </w:rPr>
            </w:pPr>
          </w:p>
        </w:tc>
        <w:tc>
          <w:tcPr>
            <w:tcW w:w="2614" w:type="pct"/>
            <w:gridSpan w:val="5"/>
            <w:noWrap/>
            <w:vAlign w:val="center"/>
          </w:tcPr>
          <w:p w14:paraId="318C0D7B">
            <w:pPr>
              <w:jc w:val="center"/>
              <w:rPr>
                <w:rFonts w:hint="eastAsia" w:ascii="仿宋_GB2312" w:hAnsi="宋体" w:eastAsia="仿宋_GB2312" w:cs="仿宋_GB2312"/>
                <w:color w:val="000000"/>
                <w:sz w:val="22"/>
                <w:szCs w:val="22"/>
                <w:highlight w:val="none"/>
              </w:rPr>
            </w:pPr>
            <w:r>
              <w:rPr>
                <w:rFonts w:hint="eastAsia" w:ascii="仿宋_GB2312" w:hAnsi="宋体" w:eastAsia="仿宋_GB2312" w:cs="仿宋_GB2312"/>
                <w:color w:val="000000"/>
                <w:sz w:val="22"/>
                <w:szCs w:val="22"/>
                <w:highlight w:val="none"/>
              </w:rPr>
              <w:t>积极应对学龄人口变化，坚持公益普惠，保障普惠性幼儿园运转，提高幼儿园办园质量，推动全市学前教育质量提升。落实免费学前教育政策，减免学前一年儿童保育教育费。</w:t>
            </w:r>
          </w:p>
        </w:tc>
        <w:tc>
          <w:tcPr>
            <w:tcW w:w="2117" w:type="pct"/>
            <w:gridSpan w:val="5"/>
            <w:noWrap/>
            <w:vAlign w:val="center"/>
          </w:tcPr>
          <w:p w14:paraId="2DFE79BA">
            <w:pPr>
              <w:jc w:val="center"/>
              <w:rPr>
                <w:rFonts w:hint="eastAsia" w:ascii="仿宋_GB2312" w:hAnsi="宋体" w:eastAsia="仿宋_GB2312" w:cs="仿宋_GB2312"/>
                <w:color w:val="000000"/>
                <w:sz w:val="22"/>
                <w:szCs w:val="22"/>
                <w:highlight w:val="none"/>
              </w:rPr>
            </w:pPr>
            <w:r>
              <w:rPr>
                <w:rFonts w:hint="eastAsia" w:ascii="仿宋_GB2312" w:hAnsi="宋体" w:eastAsia="仿宋_GB2312" w:cs="仿宋_GB2312"/>
                <w:color w:val="000000"/>
                <w:sz w:val="22"/>
                <w:szCs w:val="22"/>
                <w:highlight w:val="none"/>
              </w:rPr>
              <w:t>构建学前教育发展新格局，实现高水平“幼有所育”。成立区托幼服务指导中心，落实减免学前教育政策。构建区统园招、就近就便、应招尽招、质量为先的学前教育发展新格局。</w:t>
            </w:r>
          </w:p>
        </w:tc>
      </w:tr>
      <w:tr w14:paraId="4A56DB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52" w:hRule="atLeast"/>
        </w:trPr>
        <w:tc>
          <w:tcPr>
            <w:tcW w:w="267" w:type="pct"/>
            <w:vMerge w:val="restart"/>
            <w:noWrap/>
            <w:textDirection w:val="tbRlV"/>
            <w:vAlign w:val="center"/>
          </w:tcPr>
          <w:p w14:paraId="14494FF6">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绩效指标</w:t>
            </w:r>
          </w:p>
        </w:tc>
        <w:tc>
          <w:tcPr>
            <w:tcW w:w="560" w:type="pct"/>
            <w:gridSpan w:val="2"/>
            <w:noWrap/>
            <w:vAlign w:val="center"/>
          </w:tcPr>
          <w:p w14:paraId="231C67E3">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一级指标</w:t>
            </w:r>
          </w:p>
        </w:tc>
        <w:tc>
          <w:tcPr>
            <w:tcW w:w="2053" w:type="pct"/>
            <w:gridSpan w:val="3"/>
            <w:noWrap/>
            <w:vAlign w:val="center"/>
          </w:tcPr>
          <w:p w14:paraId="681FE24D">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二级指标</w:t>
            </w:r>
          </w:p>
        </w:tc>
        <w:tc>
          <w:tcPr>
            <w:tcW w:w="813" w:type="pct"/>
            <w:gridSpan w:val="2"/>
            <w:noWrap/>
            <w:vAlign w:val="center"/>
          </w:tcPr>
          <w:p w14:paraId="4932CA8D">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本年权重(%)</w:t>
            </w:r>
          </w:p>
        </w:tc>
        <w:tc>
          <w:tcPr>
            <w:tcW w:w="761" w:type="pct"/>
            <w:gridSpan w:val="2"/>
            <w:noWrap w:val="0"/>
            <w:vAlign w:val="center"/>
          </w:tcPr>
          <w:p w14:paraId="0CD65309">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自评得分</w:t>
            </w:r>
          </w:p>
        </w:tc>
        <w:tc>
          <w:tcPr>
            <w:tcW w:w="543" w:type="pct"/>
            <w:noWrap w:val="0"/>
            <w:vAlign w:val="center"/>
          </w:tcPr>
          <w:p w14:paraId="5F8DC3EB">
            <w:pPr>
              <w:widowControl/>
              <w:jc w:val="center"/>
              <w:textAlignment w:val="center"/>
              <w:rPr>
                <w:rFonts w:hint="eastAsia" w:ascii="宋体" w:hAnsi="宋体" w:cs="宋体"/>
                <w:color w:val="000000"/>
                <w:sz w:val="22"/>
                <w:szCs w:val="22"/>
                <w:highlight w:val="none"/>
              </w:rPr>
            </w:pPr>
            <w:r>
              <w:rPr>
                <w:rFonts w:hint="eastAsia" w:ascii="宋体" w:hAnsi="宋体" w:cs="宋体"/>
                <w:color w:val="000000"/>
                <w:kern w:val="0"/>
                <w:sz w:val="22"/>
                <w:szCs w:val="22"/>
                <w:highlight w:val="none"/>
                <w:lang w:bidi="ar"/>
              </w:rPr>
              <w:t>偏差原因分析及改进措施</w:t>
            </w:r>
          </w:p>
        </w:tc>
      </w:tr>
      <w:tr w14:paraId="3DEE22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267" w:type="pct"/>
            <w:vMerge w:val="continue"/>
            <w:noWrap/>
            <w:textDirection w:val="tbRlV"/>
            <w:vAlign w:val="center"/>
          </w:tcPr>
          <w:p w14:paraId="7881FAB2">
            <w:pPr>
              <w:jc w:val="center"/>
              <w:rPr>
                <w:rFonts w:hint="eastAsia" w:ascii="宋体" w:hAnsi="宋体" w:cs="宋体"/>
                <w:color w:val="000000"/>
                <w:sz w:val="22"/>
                <w:szCs w:val="22"/>
                <w:highlight w:val="none"/>
              </w:rPr>
            </w:pPr>
          </w:p>
        </w:tc>
        <w:tc>
          <w:tcPr>
            <w:tcW w:w="560" w:type="pct"/>
            <w:gridSpan w:val="2"/>
            <w:noWrap/>
            <w:vAlign w:val="center"/>
          </w:tcPr>
          <w:p w14:paraId="1B25DEEA">
            <w:pPr>
              <w:keepNext w:val="0"/>
              <w:keepLines w:val="0"/>
              <w:widowControl/>
              <w:suppressLineNumbers w:val="0"/>
              <w:jc w:val="center"/>
              <w:textAlignment w:val="center"/>
              <w:rPr>
                <w:rFonts w:hint="eastAsia" w:ascii="宋体" w:hAnsi="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产出指标</w:t>
            </w:r>
          </w:p>
        </w:tc>
        <w:tc>
          <w:tcPr>
            <w:tcW w:w="2053" w:type="pct"/>
            <w:gridSpan w:val="3"/>
            <w:noWrap/>
            <w:vAlign w:val="center"/>
          </w:tcPr>
          <w:p w14:paraId="3CBC0631">
            <w:pPr>
              <w:keepNext w:val="0"/>
              <w:keepLines w:val="0"/>
              <w:widowControl/>
              <w:suppressLineNumbers w:val="0"/>
              <w:jc w:val="center"/>
              <w:textAlignment w:val="center"/>
              <w:rPr>
                <w:rFonts w:hint="eastAsia" w:ascii="宋体" w:hAnsi="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数量指标</w:t>
            </w:r>
          </w:p>
        </w:tc>
        <w:tc>
          <w:tcPr>
            <w:tcW w:w="813" w:type="pct"/>
            <w:gridSpan w:val="2"/>
            <w:noWrap/>
            <w:vAlign w:val="center"/>
          </w:tcPr>
          <w:p w14:paraId="4D0E6AC9">
            <w:pPr>
              <w:keepNext w:val="0"/>
              <w:keepLines w:val="0"/>
              <w:widowControl/>
              <w:suppressLineNumbers w:val="0"/>
              <w:jc w:val="center"/>
              <w:textAlignment w:val="center"/>
              <w:rPr>
                <w:rFonts w:hint="default" w:ascii="宋体" w:hAnsi="宋体" w:cs="宋体"/>
                <w:color w:val="000000"/>
                <w:sz w:val="22"/>
                <w:szCs w:val="22"/>
                <w:highlight w:val="none"/>
                <w:lang w:val="en-US"/>
              </w:rPr>
            </w:pPr>
            <w:r>
              <w:rPr>
                <w:rFonts w:hint="eastAsia" w:ascii="宋体" w:hAnsi="宋体" w:cs="宋体"/>
                <w:i w:val="0"/>
                <w:iCs w:val="0"/>
                <w:color w:val="000000"/>
                <w:kern w:val="0"/>
                <w:sz w:val="22"/>
                <w:szCs w:val="22"/>
                <w:highlight w:val="none"/>
                <w:u w:val="none"/>
                <w:lang w:val="en-US" w:eastAsia="zh-CN" w:bidi="ar"/>
              </w:rPr>
              <w:t>30</w:t>
            </w:r>
          </w:p>
        </w:tc>
        <w:tc>
          <w:tcPr>
            <w:tcW w:w="761" w:type="pct"/>
            <w:gridSpan w:val="2"/>
            <w:noWrap/>
            <w:vAlign w:val="center"/>
          </w:tcPr>
          <w:p w14:paraId="02D654AE">
            <w:pPr>
              <w:keepNext w:val="0"/>
              <w:keepLines w:val="0"/>
              <w:widowControl/>
              <w:suppressLineNumbers w:val="0"/>
              <w:jc w:val="center"/>
              <w:textAlignment w:val="center"/>
              <w:rPr>
                <w:rFonts w:hint="default" w:ascii="宋体" w:hAnsi="宋体" w:cs="宋体"/>
                <w:color w:val="000000"/>
                <w:sz w:val="22"/>
                <w:szCs w:val="22"/>
                <w:highlight w:val="none"/>
                <w:lang w:val="en-US"/>
              </w:rPr>
            </w:pPr>
            <w:r>
              <w:rPr>
                <w:rFonts w:hint="eastAsia" w:ascii="宋体" w:hAnsi="宋体" w:cs="宋体"/>
                <w:i w:val="0"/>
                <w:iCs w:val="0"/>
                <w:color w:val="000000"/>
                <w:kern w:val="0"/>
                <w:sz w:val="22"/>
                <w:szCs w:val="22"/>
                <w:highlight w:val="none"/>
                <w:u w:val="none"/>
                <w:lang w:val="en-US" w:eastAsia="zh-CN" w:bidi="ar"/>
              </w:rPr>
              <w:t>30</w:t>
            </w:r>
          </w:p>
        </w:tc>
        <w:tc>
          <w:tcPr>
            <w:tcW w:w="543" w:type="pct"/>
            <w:noWrap/>
            <w:vAlign w:val="center"/>
          </w:tcPr>
          <w:p w14:paraId="558EAD08">
            <w:pPr>
              <w:jc w:val="center"/>
              <w:rPr>
                <w:rFonts w:hint="eastAsia" w:ascii="宋体" w:hAnsi="宋体" w:cs="宋体"/>
                <w:color w:val="000000"/>
                <w:sz w:val="22"/>
                <w:szCs w:val="22"/>
                <w:highlight w:val="none"/>
              </w:rPr>
            </w:pPr>
          </w:p>
        </w:tc>
      </w:tr>
      <w:tr w14:paraId="5810E4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267" w:type="pct"/>
            <w:vMerge w:val="continue"/>
            <w:noWrap/>
            <w:textDirection w:val="tbRlV"/>
            <w:vAlign w:val="center"/>
          </w:tcPr>
          <w:p w14:paraId="0676748F">
            <w:pPr>
              <w:jc w:val="center"/>
              <w:rPr>
                <w:rFonts w:hint="eastAsia" w:ascii="宋体" w:hAnsi="宋体" w:cs="宋体"/>
                <w:color w:val="000000"/>
                <w:sz w:val="22"/>
                <w:szCs w:val="22"/>
                <w:highlight w:val="none"/>
              </w:rPr>
            </w:pPr>
          </w:p>
        </w:tc>
        <w:tc>
          <w:tcPr>
            <w:tcW w:w="560" w:type="pct"/>
            <w:gridSpan w:val="2"/>
            <w:noWrap/>
            <w:vAlign w:val="center"/>
          </w:tcPr>
          <w:p w14:paraId="36462D1A">
            <w:pPr>
              <w:keepNext w:val="0"/>
              <w:keepLines w:val="0"/>
              <w:widowControl/>
              <w:suppressLineNumbers w:val="0"/>
              <w:jc w:val="center"/>
              <w:textAlignment w:val="center"/>
              <w:rPr>
                <w:rFonts w:hint="eastAsia" w:ascii="宋体" w:hAnsi="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产出指标</w:t>
            </w:r>
          </w:p>
        </w:tc>
        <w:tc>
          <w:tcPr>
            <w:tcW w:w="2053" w:type="pct"/>
            <w:gridSpan w:val="3"/>
            <w:noWrap/>
            <w:vAlign w:val="center"/>
          </w:tcPr>
          <w:p w14:paraId="5E8C97EC">
            <w:pPr>
              <w:keepNext w:val="0"/>
              <w:keepLines w:val="0"/>
              <w:widowControl/>
              <w:suppressLineNumbers w:val="0"/>
              <w:jc w:val="center"/>
              <w:textAlignment w:val="center"/>
              <w:rPr>
                <w:rFonts w:hint="eastAsia" w:ascii="宋体" w:hAnsi="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质量指标</w:t>
            </w:r>
          </w:p>
        </w:tc>
        <w:tc>
          <w:tcPr>
            <w:tcW w:w="813" w:type="pct"/>
            <w:gridSpan w:val="2"/>
            <w:noWrap/>
            <w:vAlign w:val="center"/>
          </w:tcPr>
          <w:p w14:paraId="16A2BA78">
            <w:pPr>
              <w:keepNext w:val="0"/>
              <w:keepLines w:val="0"/>
              <w:widowControl/>
              <w:suppressLineNumbers w:val="0"/>
              <w:jc w:val="center"/>
              <w:textAlignment w:val="center"/>
              <w:rPr>
                <w:rFonts w:hint="eastAsia" w:ascii="宋体" w:hAnsi="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10</w:t>
            </w:r>
          </w:p>
        </w:tc>
        <w:tc>
          <w:tcPr>
            <w:tcW w:w="761" w:type="pct"/>
            <w:gridSpan w:val="2"/>
            <w:noWrap/>
            <w:vAlign w:val="center"/>
          </w:tcPr>
          <w:p w14:paraId="0330DC5E">
            <w:pPr>
              <w:keepNext w:val="0"/>
              <w:keepLines w:val="0"/>
              <w:widowControl/>
              <w:suppressLineNumbers w:val="0"/>
              <w:jc w:val="center"/>
              <w:textAlignment w:val="center"/>
              <w:rPr>
                <w:rFonts w:hint="eastAsia" w:ascii="宋体" w:hAnsi="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10</w:t>
            </w:r>
          </w:p>
        </w:tc>
        <w:tc>
          <w:tcPr>
            <w:tcW w:w="543" w:type="pct"/>
            <w:noWrap/>
            <w:vAlign w:val="center"/>
          </w:tcPr>
          <w:p w14:paraId="27C13AED">
            <w:pPr>
              <w:jc w:val="center"/>
              <w:rPr>
                <w:rFonts w:hint="eastAsia" w:ascii="宋体" w:hAnsi="宋体" w:cs="宋体"/>
                <w:color w:val="000000"/>
                <w:sz w:val="22"/>
                <w:szCs w:val="22"/>
                <w:highlight w:val="none"/>
              </w:rPr>
            </w:pPr>
          </w:p>
        </w:tc>
      </w:tr>
      <w:tr w14:paraId="372512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267" w:type="pct"/>
            <w:vMerge w:val="continue"/>
            <w:noWrap/>
            <w:textDirection w:val="tbRlV"/>
            <w:vAlign w:val="center"/>
          </w:tcPr>
          <w:p w14:paraId="0E37F54D">
            <w:pPr>
              <w:jc w:val="center"/>
              <w:rPr>
                <w:rFonts w:hint="eastAsia" w:ascii="宋体" w:hAnsi="宋体" w:cs="宋体"/>
                <w:color w:val="000000"/>
                <w:sz w:val="22"/>
                <w:szCs w:val="22"/>
                <w:highlight w:val="none"/>
              </w:rPr>
            </w:pPr>
          </w:p>
        </w:tc>
        <w:tc>
          <w:tcPr>
            <w:tcW w:w="560" w:type="pct"/>
            <w:gridSpan w:val="2"/>
            <w:noWrap/>
            <w:vAlign w:val="center"/>
          </w:tcPr>
          <w:p w14:paraId="5B131AEA">
            <w:pPr>
              <w:keepNext w:val="0"/>
              <w:keepLines w:val="0"/>
              <w:widowControl/>
              <w:suppressLineNumbers w:val="0"/>
              <w:jc w:val="center"/>
              <w:textAlignment w:val="center"/>
              <w:rPr>
                <w:rFonts w:hint="eastAsia" w:ascii="宋体" w:hAnsi="宋体" w:cs="宋体"/>
                <w:color w:val="000000"/>
                <w:sz w:val="22"/>
                <w:szCs w:val="22"/>
                <w:highlight w:val="none"/>
              </w:rPr>
            </w:pPr>
            <w:r>
              <w:rPr>
                <w:rFonts w:hint="eastAsia" w:ascii="宋体" w:hAnsi="宋体" w:cs="宋体"/>
                <w:i w:val="0"/>
                <w:iCs w:val="0"/>
                <w:color w:val="000000"/>
                <w:kern w:val="0"/>
                <w:sz w:val="22"/>
                <w:szCs w:val="22"/>
                <w:highlight w:val="none"/>
                <w:u w:val="none"/>
                <w:lang w:val="en-US" w:eastAsia="zh-CN" w:bidi="ar"/>
              </w:rPr>
              <w:t>效益</w:t>
            </w:r>
            <w:r>
              <w:rPr>
                <w:rFonts w:hint="eastAsia" w:ascii="宋体" w:hAnsi="宋体" w:eastAsia="宋体" w:cs="宋体"/>
                <w:i w:val="0"/>
                <w:iCs w:val="0"/>
                <w:color w:val="000000"/>
                <w:kern w:val="0"/>
                <w:sz w:val="22"/>
                <w:szCs w:val="22"/>
                <w:highlight w:val="none"/>
                <w:u w:val="none"/>
                <w:lang w:val="en-US" w:eastAsia="zh-CN" w:bidi="ar"/>
              </w:rPr>
              <w:t>指标</w:t>
            </w:r>
          </w:p>
        </w:tc>
        <w:tc>
          <w:tcPr>
            <w:tcW w:w="2053" w:type="pct"/>
            <w:gridSpan w:val="3"/>
            <w:noWrap/>
            <w:vAlign w:val="center"/>
          </w:tcPr>
          <w:p w14:paraId="046EE20B">
            <w:pPr>
              <w:keepNext w:val="0"/>
              <w:keepLines w:val="0"/>
              <w:widowControl/>
              <w:suppressLineNumbers w:val="0"/>
              <w:jc w:val="center"/>
              <w:textAlignment w:val="center"/>
              <w:rPr>
                <w:rFonts w:hint="eastAsia" w:ascii="宋体" w:hAnsi="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社会效益指标</w:t>
            </w:r>
          </w:p>
        </w:tc>
        <w:tc>
          <w:tcPr>
            <w:tcW w:w="813" w:type="pct"/>
            <w:gridSpan w:val="2"/>
            <w:noWrap/>
            <w:vAlign w:val="center"/>
          </w:tcPr>
          <w:p w14:paraId="1F9DD6D2">
            <w:pPr>
              <w:keepNext w:val="0"/>
              <w:keepLines w:val="0"/>
              <w:widowControl/>
              <w:suppressLineNumbers w:val="0"/>
              <w:jc w:val="center"/>
              <w:textAlignment w:val="center"/>
              <w:rPr>
                <w:rFonts w:hint="default" w:ascii="宋体" w:hAnsi="宋体" w:cs="宋体"/>
                <w:color w:val="000000"/>
                <w:sz w:val="22"/>
                <w:szCs w:val="22"/>
                <w:highlight w:val="none"/>
                <w:lang w:val="en-US"/>
              </w:rPr>
            </w:pPr>
            <w:r>
              <w:rPr>
                <w:rFonts w:hint="eastAsia" w:ascii="宋体" w:hAnsi="宋体" w:cs="宋体"/>
                <w:i w:val="0"/>
                <w:iCs w:val="0"/>
                <w:color w:val="000000"/>
                <w:kern w:val="0"/>
                <w:sz w:val="22"/>
                <w:szCs w:val="22"/>
                <w:highlight w:val="none"/>
                <w:u w:val="none"/>
                <w:lang w:val="en-US" w:eastAsia="zh-CN" w:bidi="ar"/>
              </w:rPr>
              <w:t>20</w:t>
            </w:r>
          </w:p>
        </w:tc>
        <w:tc>
          <w:tcPr>
            <w:tcW w:w="761" w:type="pct"/>
            <w:gridSpan w:val="2"/>
            <w:noWrap/>
            <w:vAlign w:val="center"/>
          </w:tcPr>
          <w:p w14:paraId="0664DD8A">
            <w:pPr>
              <w:keepNext w:val="0"/>
              <w:keepLines w:val="0"/>
              <w:widowControl/>
              <w:suppressLineNumbers w:val="0"/>
              <w:jc w:val="center"/>
              <w:textAlignment w:val="center"/>
              <w:rPr>
                <w:rFonts w:hint="default" w:ascii="宋体" w:hAnsi="宋体" w:cs="宋体"/>
                <w:color w:val="000000"/>
                <w:sz w:val="22"/>
                <w:szCs w:val="22"/>
                <w:highlight w:val="none"/>
                <w:lang w:val="en-US"/>
              </w:rPr>
            </w:pPr>
            <w:r>
              <w:rPr>
                <w:rFonts w:hint="eastAsia" w:ascii="宋体" w:hAnsi="宋体" w:cs="宋体"/>
                <w:i w:val="0"/>
                <w:iCs w:val="0"/>
                <w:color w:val="000000"/>
                <w:kern w:val="0"/>
                <w:sz w:val="22"/>
                <w:szCs w:val="22"/>
                <w:highlight w:val="none"/>
                <w:u w:val="none"/>
                <w:lang w:val="en-US" w:eastAsia="zh-CN" w:bidi="ar"/>
              </w:rPr>
              <w:t>20</w:t>
            </w:r>
          </w:p>
        </w:tc>
        <w:tc>
          <w:tcPr>
            <w:tcW w:w="543" w:type="pct"/>
            <w:noWrap/>
            <w:vAlign w:val="center"/>
          </w:tcPr>
          <w:p w14:paraId="1A64948C">
            <w:pPr>
              <w:jc w:val="center"/>
              <w:rPr>
                <w:rFonts w:hint="eastAsia" w:ascii="宋体" w:hAnsi="宋体" w:cs="宋体"/>
                <w:color w:val="000000"/>
                <w:sz w:val="22"/>
                <w:szCs w:val="22"/>
                <w:highlight w:val="none"/>
              </w:rPr>
            </w:pPr>
          </w:p>
        </w:tc>
      </w:tr>
      <w:tr w14:paraId="728D40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267" w:type="pct"/>
            <w:vMerge w:val="continue"/>
            <w:noWrap/>
            <w:textDirection w:val="tbRlV"/>
            <w:vAlign w:val="center"/>
          </w:tcPr>
          <w:p w14:paraId="31A0434D">
            <w:pPr>
              <w:jc w:val="center"/>
              <w:rPr>
                <w:rFonts w:hint="eastAsia" w:ascii="宋体" w:hAnsi="宋体" w:cs="宋体"/>
                <w:color w:val="000000"/>
                <w:sz w:val="22"/>
                <w:szCs w:val="22"/>
                <w:highlight w:val="none"/>
              </w:rPr>
            </w:pPr>
          </w:p>
        </w:tc>
        <w:tc>
          <w:tcPr>
            <w:tcW w:w="560" w:type="pct"/>
            <w:gridSpan w:val="2"/>
            <w:noWrap/>
            <w:vAlign w:val="center"/>
          </w:tcPr>
          <w:p w14:paraId="6B403A55">
            <w:pPr>
              <w:keepNext w:val="0"/>
              <w:keepLines w:val="0"/>
              <w:widowControl/>
              <w:suppressLineNumbers w:val="0"/>
              <w:jc w:val="center"/>
              <w:textAlignment w:val="center"/>
              <w:rPr>
                <w:rFonts w:hint="default" w:ascii="宋体" w:hAnsi="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成本指标</w:t>
            </w:r>
          </w:p>
        </w:tc>
        <w:tc>
          <w:tcPr>
            <w:tcW w:w="2053" w:type="pct"/>
            <w:gridSpan w:val="3"/>
            <w:noWrap/>
            <w:vAlign w:val="center"/>
          </w:tcPr>
          <w:p w14:paraId="03895872">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经济成本指标</w:t>
            </w:r>
          </w:p>
        </w:tc>
        <w:tc>
          <w:tcPr>
            <w:tcW w:w="813" w:type="pct"/>
            <w:gridSpan w:val="2"/>
            <w:noWrap/>
            <w:vAlign w:val="center"/>
          </w:tcPr>
          <w:p w14:paraId="0664F56C">
            <w:pPr>
              <w:keepNext w:val="0"/>
              <w:keepLines w:val="0"/>
              <w:widowControl/>
              <w:suppressLineNumbers w:val="0"/>
              <w:jc w:val="center"/>
              <w:textAlignment w:val="center"/>
              <w:rPr>
                <w:rFonts w:hint="default" w:ascii="宋体" w:hAnsi="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20</w:t>
            </w:r>
          </w:p>
        </w:tc>
        <w:tc>
          <w:tcPr>
            <w:tcW w:w="761" w:type="pct"/>
            <w:gridSpan w:val="2"/>
            <w:noWrap/>
            <w:vAlign w:val="center"/>
          </w:tcPr>
          <w:p w14:paraId="27E08479">
            <w:pPr>
              <w:keepNext w:val="0"/>
              <w:keepLines w:val="0"/>
              <w:widowControl/>
              <w:suppressLineNumbers w:val="0"/>
              <w:jc w:val="center"/>
              <w:textAlignment w:val="center"/>
              <w:rPr>
                <w:rFonts w:hint="default" w:ascii="宋体" w:hAnsi="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20</w:t>
            </w:r>
          </w:p>
        </w:tc>
        <w:tc>
          <w:tcPr>
            <w:tcW w:w="543" w:type="pct"/>
            <w:noWrap/>
            <w:vAlign w:val="center"/>
          </w:tcPr>
          <w:p w14:paraId="226CF80C">
            <w:pPr>
              <w:jc w:val="center"/>
              <w:rPr>
                <w:rFonts w:hint="eastAsia" w:ascii="宋体" w:hAnsi="宋体" w:cs="宋体"/>
                <w:color w:val="000000"/>
                <w:sz w:val="22"/>
                <w:szCs w:val="22"/>
                <w:highlight w:val="none"/>
              </w:rPr>
            </w:pPr>
          </w:p>
        </w:tc>
      </w:tr>
      <w:tr w14:paraId="38FD75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267" w:type="pct"/>
            <w:vMerge w:val="continue"/>
            <w:noWrap/>
            <w:textDirection w:val="tbRlV"/>
            <w:vAlign w:val="center"/>
          </w:tcPr>
          <w:p w14:paraId="096D1EE1">
            <w:pPr>
              <w:jc w:val="center"/>
              <w:rPr>
                <w:rFonts w:hint="eastAsia" w:ascii="宋体" w:hAnsi="宋体" w:cs="宋体"/>
                <w:color w:val="000000"/>
                <w:sz w:val="22"/>
                <w:szCs w:val="22"/>
                <w:highlight w:val="none"/>
              </w:rPr>
            </w:pPr>
          </w:p>
        </w:tc>
        <w:tc>
          <w:tcPr>
            <w:tcW w:w="560" w:type="pct"/>
            <w:gridSpan w:val="2"/>
            <w:noWrap/>
            <w:vAlign w:val="center"/>
          </w:tcPr>
          <w:p w14:paraId="46642A54">
            <w:pPr>
              <w:keepNext w:val="0"/>
              <w:keepLines w:val="0"/>
              <w:widowControl/>
              <w:suppressLineNumbers w:val="0"/>
              <w:jc w:val="center"/>
              <w:textAlignment w:val="center"/>
              <w:rPr>
                <w:rFonts w:hint="eastAsia" w:ascii="宋体" w:hAnsi="宋体" w:cs="宋体"/>
                <w:color w:val="000000"/>
                <w:sz w:val="22"/>
                <w:szCs w:val="22"/>
                <w:highlight w:val="none"/>
              </w:rPr>
            </w:pPr>
            <w:r>
              <w:rPr>
                <w:rFonts w:hint="eastAsia" w:ascii="宋体" w:hAnsi="宋体" w:cs="宋体"/>
                <w:i w:val="0"/>
                <w:iCs w:val="0"/>
                <w:color w:val="000000"/>
                <w:kern w:val="0"/>
                <w:sz w:val="22"/>
                <w:szCs w:val="22"/>
                <w:highlight w:val="none"/>
                <w:u w:val="none"/>
                <w:lang w:val="en-US" w:eastAsia="zh-CN" w:bidi="ar"/>
              </w:rPr>
              <w:t>满意度</w:t>
            </w:r>
            <w:r>
              <w:rPr>
                <w:rFonts w:hint="eastAsia" w:ascii="宋体" w:hAnsi="宋体" w:eastAsia="宋体" w:cs="宋体"/>
                <w:i w:val="0"/>
                <w:iCs w:val="0"/>
                <w:color w:val="000000"/>
                <w:kern w:val="0"/>
                <w:sz w:val="22"/>
                <w:szCs w:val="22"/>
                <w:highlight w:val="none"/>
                <w:u w:val="none"/>
                <w:lang w:val="en-US" w:eastAsia="zh-CN" w:bidi="ar"/>
              </w:rPr>
              <w:t>指标</w:t>
            </w:r>
          </w:p>
        </w:tc>
        <w:tc>
          <w:tcPr>
            <w:tcW w:w="2053" w:type="pct"/>
            <w:gridSpan w:val="3"/>
            <w:noWrap/>
            <w:vAlign w:val="center"/>
          </w:tcPr>
          <w:p w14:paraId="129A482C">
            <w:pPr>
              <w:keepNext w:val="0"/>
              <w:keepLines w:val="0"/>
              <w:widowControl/>
              <w:suppressLineNumbers w:val="0"/>
              <w:jc w:val="center"/>
              <w:textAlignment w:val="center"/>
              <w:rPr>
                <w:rFonts w:hint="eastAsia" w:ascii="宋体" w:hAnsi="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服务对象满意度指标</w:t>
            </w:r>
          </w:p>
        </w:tc>
        <w:tc>
          <w:tcPr>
            <w:tcW w:w="813" w:type="pct"/>
            <w:gridSpan w:val="2"/>
            <w:noWrap/>
            <w:vAlign w:val="center"/>
          </w:tcPr>
          <w:p w14:paraId="3E863EF9">
            <w:pPr>
              <w:keepNext w:val="0"/>
              <w:keepLines w:val="0"/>
              <w:widowControl/>
              <w:suppressLineNumbers w:val="0"/>
              <w:jc w:val="center"/>
              <w:textAlignment w:val="center"/>
              <w:rPr>
                <w:rFonts w:hint="default" w:ascii="宋体" w:hAnsi="宋体" w:cs="宋体"/>
                <w:color w:val="000000"/>
                <w:sz w:val="22"/>
                <w:szCs w:val="22"/>
                <w:highlight w:val="none"/>
                <w:lang w:val="en-US"/>
              </w:rPr>
            </w:pPr>
            <w:r>
              <w:rPr>
                <w:rFonts w:hint="eastAsia" w:ascii="宋体" w:hAnsi="宋体" w:cs="宋体"/>
                <w:i w:val="0"/>
                <w:iCs w:val="0"/>
                <w:color w:val="000000"/>
                <w:kern w:val="0"/>
                <w:sz w:val="22"/>
                <w:szCs w:val="22"/>
                <w:highlight w:val="none"/>
                <w:u w:val="none"/>
                <w:lang w:val="en-US" w:eastAsia="zh-CN" w:bidi="ar"/>
              </w:rPr>
              <w:t>10</w:t>
            </w:r>
          </w:p>
        </w:tc>
        <w:tc>
          <w:tcPr>
            <w:tcW w:w="761" w:type="pct"/>
            <w:gridSpan w:val="2"/>
            <w:noWrap/>
            <w:vAlign w:val="center"/>
          </w:tcPr>
          <w:p w14:paraId="1DA4D6B4">
            <w:pPr>
              <w:keepNext w:val="0"/>
              <w:keepLines w:val="0"/>
              <w:widowControl/>
              <w:suppressLineNumbers w:val="0"/>
              <w:jc w:val="center"/>
              <w:textAlignment w:val="center"/>
              <w:rPr>
                <w:rFonts w:hint="default" w:ascii="宋体" w:hAnsi="宋体" w:cs="宋体"/>
                <w:color w:val="000000"/>
                <w:sz w:val="22"/>
                <w:szCs w:val="22"/>
                <w:highlight w:val="none"/>
                <w:lang w:val="en-US"/>
              </w:rPr>
            </w:pPr>
            <w:r>
              <w:rPr>
                <w:rFonts w:hint="eastAsia" w:ascii="宋体" w:hAnsi="宋体" w:cs="宋体"/>
                <w:i w:val="0"/>
                <w:iCs w:val="0"/>
                <w:color w:val="000000"/>
                <w:kern w:val="0"/>
                <w:sz w:val="22"/>
                <w:szCs w:val="22"/>
                <w:highlight w:val="none"/>
                <w:u w:val="none"/>
                <w:lang w:val="en-US" w:eastAsia="zh-CN" w:bidi="ar"/>
              </w:rPr>
              <w:t>10</w:t>
            </w:r>
          </w:p>
        </w:tc>
        <w:tc>
          <w:tcPr>
            <w:tcW w:w="543" w:type="pct"/>
            <w:noWrap/>
            <w:vAlign w:val="center"/>
          </w:tcPr>
          <w:p w14:paraId="6CAAD3E5">
            <w:pPr>
              <w:jc w:val="center"/>
              <w:rPr>
                <w:rFonts w:hint="eastAsia" w:ascii="宋体" w:hAnsi="宋体" w:cs="宋体"/>
                <w:color w:val="000000"/>
                <w:sz w:val="22"/>
                <w:szCs w:val="22"/>
                <w:highlight w:val="none"/>
              </w:rPr>
            </w:pPr>
          </w:p>
        </w:tc>
      </w:tr>
      <w:tr w14:paraId="0597BC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2882" w:type="pct"/>
            <w:gridSpan w:val="6"/>
            <w:noWrap/>
            <w:vAlign w:val="center"/>
          </w:tcPr>
          <w:p w14:paraId="40B919AF">
            <w:pPr>
              <w:jc w:val="center"/>
              <w:rPr>
                <w:rFonts w:hint="eastAsia" w:ascii="宋体" w:hAnsi="宋体" w:cs="宋体"/>
                <w:color w:val="000000"/>
                <w:kern w:val="0"/>
                <w:sz w:val="22"/>
                <w:szCs w:val="22"/>
                <w:highlight w:val="none"/>
                <w:lang w:bidi="ar"/>
              </w:rPr>
            </w:pPr>
            <w:r>
              <w:rPr>
                <w:rFonts w:hint="eastAsia" w:ascii="宋体" w:hAnsi="宋体" w:cs="宋体"/>
                <w:color w:val="000000"/>
                <w:kern w:val="0"/>
                <w:sz w:val="22"/>
                <w:szCs w:val="22"/>
                <w:highlight w:val="none"/>
                <w:lang w:bidi="ar"/>
              </w:rPr>
              <w:t>总分</w:t>
            </w:r>
          </w:p>
        </w:tc>
        <w:tc>
          <w:tcPr>
            <w:tcW w:w="813" w:type="pct"/>
            <w:gridSpan w:val="2"/>
            <w:noWrap/>
            <w:vAlign w:val="center"/>
          </w:tcPr>
          <w:p w14:paraId="0E60E0FE">
            <w:pPr>
              <w:jc w:val="center"/>
              <w:rPr>
                <w:rFonts w:hint="default" w:ascii="宋体" w:hAnsi="宋体" w:eastAsia="宋体" w:cs="宋体"/>
                <w:color w:val="000000"/>
                <w:kern w:val="0"/>
                <w:sz w:val="22"/>
                <w:szCs w:val="22"/>
                <w:highlight w:val="none"/>
                <w:lang w:val="en-US" w:eastAsia="zh-CN" w:bidi="ar"/>
              </w:rPr>
            </w:pPr>
            <w:r>
              <w:rPr>
                <w:rFonts w:hint="eastAsia" w:ascii="宋体" w:hAnsi="宋体" w:cs="宋体"/>
                <w:color w:val="000000"/>
                <w:kern w:val="0"/>
                <w:sz w:val="22"/>
                <w:szCs w:val="22"/>
                <w:highlight w:val="none"/>
                <w:lang w:val="en-US" w:eastAsia="zh-CN" w:bidi="ar"/>
              </w:rPr>
              <w:t>100</w:t>
            </w:r>
          </w:p>
        </w:tc>
        <w:tc>
          <w:tcPr>
            <w:tcW w:w="761" w:type="pct"/>
            <w:gridSpan w:val="2"/>
            <w:noWrap/>
            <w:vAlign w:val="center"/>
          </w:tcPr>
          <w:p w14:paraId="02EFD24A">
            <w:pPr>
              <w:jc w:val="center"/>
              <w:rPr>
                <w:rFonts w:hint="default" w:ascii="宋体" w:hAnsi="宋体" w:eastAsia="宋体" w:cs="宋体"/>
                <w:color w:val="000000"/>
                <w:kern w:val="0"/>
                <w:sz w:val="22"/>
                <w:szCs w:val="22"/>
                <w:highlight w:val="none"/>
                <w:lang w:val="en-US" w:eastAsia="zh-CN" w:bidi="ar"/>
              </w:rPr>
            </w:pPr>
            <w:r>
              <w:rPr>
                <w:rFonts w:hint="eastAsia" w:ascii="宋体" w:hAnsi="宋体" w:cs="宋体"/>
                <w:color w:val="000000"/>
                <w:kern w:val="0"/>
                <w:sz w:val="22"/>
                <w:szCs w:val="22"/>
                <w:highlight w:val="none"/>
                <w:lang w:val="en-US" w:eastAsia="zh-CN" w:bidi="ar"/>
              </w:rPr>
              <w:t>99.99</w:t>
            </w:r>
          </w:p>
        </w:tc>
        <w:tc>
          <w:tcPr>
            <w:tcW w:w="543" w:type="pct"/>
            <w:noWrap/>
            <w:vAlign w:val="center"/>
          </w:tcPr>
          <w:p w14:paraId="4CA8F3CB">
            <w:pPr>
              <w:rPr>
                <w:rFonts w:hint="eastAsia" w:ascii="宋体" w:hAnsi="宋体" w:cs="宋体"/>
                <w:color w:val="000000"/>
                <w:sz w:val="22"/>
                <w:szCs w:val="22"/>
                <w:highlight w:val="none"/>
              </w:rPr>
            </w:pPr>
          </w:p>
        </w:tc>
      </w:tr>
    </w:tbl>
    <w:p w14:paraId="775274A6">
      <w:pPr>
        <w:widowControl/>
        <w:overflowPunct/>
        <w:spacing w:line="560" w:lineRule="exact"/>
        <w:jc w:val="left"/>
        <w:rPr>
          <w:rFonts w:hint="eastAsia" w:ascii="黑体" w:hAnsi="黑体" w:eastAsia="黑体" w:cs="Times New Roman"/>
          <w:bCs w:val="0"/>
          <w:kern w:val="2"/>
          <w:sz w:val="32"/>
          <w:szCs w:val="32"/>
          <w:highlight w:val="none"/>
          <w:lang w:eastAsia="zh-CN" w:bidi="ar"/>
        </w:rPr>
      </w:pPr>
    </w:p>
    <w:p w14:paraId="45164524">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5</w:t>
      </w:r>
      <w:r>
        <w:rPr>
          <w:rFonts w:hint="eastAsia" w:ascii="方正小标宋简体" w:hAnsi="方正小标宋简体" w:eastAsia="方正小标宋简体" w:cs="方正小标宋简体"/>
          <w:sz w:val="44"/>
          <w:szCs w:val="44"/>
          <w:highlight w:val="none"/>
        </w:rPr>
        <w:t>年度中央对北京</w:t>
      </w:r>
      <w:r>
        <w:rPr>
          <w:rFonts w:hint="eastAsia" w:ascii="方正小标宋简体" w:hAnsi="方正小标宋简体" w:eastAsia="方正小标宋简体" w:cs="方正小标宋简体"/>
          <w:sz w:val="44"/>
          <w:szCs w:val="44"/>
          <w:highlight w:val="none"/>
          <w:lang w:val="en-US" w:eastAsia="zh-CN"/>
        </w:rPr>
        <w:t>城乡义务教育补助</w:t>
      </w:r>
      <w:r>
        <w:rPr>
          <w:rFonts w:hint="eastAsia" w:ascii="方正小标宋简体" w:hAnsi="方正小标宋简体" w:eastAsia="方正小标宋简体" w:cs="方正小标宋简体"/>
          <w:sz w:val="44"/>
          <w:szCs w:val="44"/>
          <w:highlight w:val="none"/>
        </w:rPr>
        <w:t>转移支付</w:t>
      </w:r>
    </w:p>
    <w:p w14:paraId="78C944F6">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预算执行情况绩效自评报告</w:t>
      </w:r>
    </w:p>
    <w:p w14:paraId="706BE1A0">
      <w:pPr>
        <w:spacing w:line="600" w:lineRule="exact"/>
        <w:ind w:firstLine="640" w:firstLineChars="200"/>
        <w:rPr>
          <w:rFonts w:hint="eastAsia" w:ascii="黑体" w:hAnsi="黑体" w:eastAsia="黑体" w:cs="黑体"/>
          <w:sz w:val="32"/>
          <w:szCs w:val="32"/>
          <w:highlight w:val="none"/>
        </w:rPr>
      </w:pPr>
    </w:p>
    <w:p w14:paraId="3D716A57">
      <w:pPr>
        <w:spacing w:line="60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一、转移支付基本情况</w:t>
      </w:r>
    </w:p>
    <w:p w14:paraId="1975D674">
      <w:pPr>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（一）城乡义务教育补助转移支付概况。</w:t>
      </w:r>
    </w:p>
    <w:p w14:paraId="2E1D7CF9">
      <w:pPr>
        <w:spacing w:line="560" w:lineRule="exact"/>
        <w:ind w:firstLine="640" w:firstLineChars="200"/>
        <w:rPr>
          <w:rFonts w:hint="eastAsia" w:ascii="楷体_GB2312" w:hAnsi="楷体_GB2312" w:eastAsia="楷体_GB2312" w:cs="楷体_GB2312"/>
          <w:sz w:val="32"/>
          <w:szCs w:val="32"/>
          <w:highlight w:val="none"/>
        </w:rPr>
      </w:pPr>
      <w:r>
        <w:rPr>
          <w:rFonts w:hint="eastAsia" w:ascii="仿宋_GB2312" w:hAnsi="仿宋" w:eastAsia="仿宋_GB2312"/>
          <w:sz w:val="32"/>
          <w:szCs w:val="32"/>
          <w:highlight w:val="none"/>
          <w:lang w:val="en-US" w:eastAsia="zh-CN"/>
        </w:rPr>
        <w:t>2025年，城乡义务教育补助资金共下达我区中央资金16,294万元。</w:t>
      </w:r>
    </w:p>
    <w:p w14:paraId="50AB837C">
      <w:pPr>
        <w:numPr>
          <w:ilvl w:val="0"/>
          <w:numId w:val="0"/>
        </w:numPr>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kern w:val="2"/>
          <w:sz w:val="32"/>
          <w:szCs w:val="32"/>
          <w:highlight w:val="none"/>
          <w:lang w:val="en-US" w:eastAsia="zh-CN" w:bidi="ar-SA"/>
        </w:rPr>
        <w:t>（二）</w:t>
      </w:r>
      <w:r>
        <w:rPr>
          <w:rFonts w:hint="eastAsia" w:ascii="楷体_GB2312" w:hAnsi="楷体_GB2312" w:eastAsia="楷体_GB2312" w:cs="楷体_GB2312"/>
          <w:sz w:val="32"/>
          <w:szCs w:val="32"/>
          <w:highlight w:val="none"/>
        </w:rPr>
        <w:t>资金投入情况分析。</w:t>
      </w:r>
    </w:p>
    <w:p w14:paraId="594E1601">
      <w:pPr>
        <w:numPr>
          <w:ilvl w:val="0"/>
          <w:numId w:val="0"/>
        </w:numPr>
        <w:spacing w:line="600" w:lineRule="exact"/>
        <w:ind w:firstLine="640" w:firstLineChars="200"/>
        <w:rPr>
          <w:rFonts w:hint="eastAsia" w:ascii="楷体_GB2312" w:hAnsi="楷体_GB2312" w:eastAsia="楷体_GB2312" w:cs="楷体_GB2312"/>
          <w:sz w:val="32"/>
          <w:szCs w:val="32"/>
          <w:highlight w:val="none"/>
        </w:rPr>
      </w:pPr>
      <w:r>
        <w:rPr>
          <w:rFonts w:hint="eastAsia" w:ascii="仿宋_GB2312" w:hAnsi="仿宋" w:eastAsia="仿宋_GB2312"/>
          <w:sz w:val="32"/>
          <w:szCs w:val="32"/>
          <w:highlight w:val="none"/>
          <w:lang w:val="en-US" w:eastAsia="zh-CN"/>
        </w:rPr>
        <w:t>截至2025年12月底，城乡义务教育补助资金共支出中央资金15,770.04万元。</w:t>
      </w:r>
    </w:p>
    <w:p w14:paraId="50951B17">
      <w:pPr>
        <w:numPr>
          <w:ilvl w:val="0"/>
          <w:numId w:val="0"/>
        </w:numPr>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kern w:val="2"/>
          <w:sz w:val="32"/>
          <w:szCs w:val="32"/>
          <w:highlight w:val="none"/>
          <w:lang w:val="en-US" w:eastAsia="zh-CN" w:bidi="ar-SA"/>
        </w:rPr>
        <w:t>（三）</w:t>
      </w:r>
      <w:r>
        <w:rPr>
          <w:rFonts w:hint="eastAsia" w:ascii="楷体_GB2312" w:hAnsi="楷体_GB2312" w:eastAsia="楷体_GB2312" w:cs="楷体_GB2312"/>
          <w:sz w:val="32"/>
          <w:szCs w:val="32"/>
          <w:highlight w:val="none"/>
        </w:rPr>
        <w:t>资金管理情况分析。</w:t>
      </w:r>
    </w:p>
    <w:p w14:paraId="2F669CFA">
      <w:pPr>
        <w:spacing w:line="56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在资金分配的科学性方面，严格依据资金管理办法及我区实际需求进行统筹，确保分配结果契合我区发展需要，做到科学合理、及时下达。</w:t>
      </w:r>
    </w:p>
    <w:p w14:paraId="7A491BB6">
      <w:pPr>
        <w:spacing w:line="56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在预算绩效管理方面，通过加强绩效引导，优化预算分配与资金使用过程，保障资金高效运转和项目顺利推进。</w:t>
      </w:r>
    </w:p>
    <w:p w14:paraId="7B515DF3">
      <w:pPr>
        <w:spacing w:line="56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在支出责任履行方面，注重资金使用的合规性与有效性，强化对各项支出的规范管理，确保资金拨付符合规定、使用严格规范、执行准确到位。</w:t>
      </w:r>
    </w:p>
    <w:p w14:paraId="59614068">
      <w:pPr>
        <w:spacing w:line="60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二、绩效目标实现情况</w:t>
      </w:r>
    </w:p>
    <w:p w14:paraId="5D520836">
      <w:pPr>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（一）总体绩效目标完成情况分析。</w:t>
      </w:r>
    </w:p>
    <w:p w14:paraId="0B7F72FF">
      <w:pPr>
        <w:spacing w:line="56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1.年度绩效总体目标设定</w:t>
      </w:r>
    </w:p>
    <w:p w14:paraId="6D423D63">
      <w:pPr>
        <w:spacing w:line="56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围绕“立德树人”的根本任务，落实城乡义务教育保障机制，保障学校正常运转，努力促进教育公平，提高教育质量，推进义务教育优质均衡发展。</w:t>
      </w:r>
    </w:p>
    <w:p w14:paraId="75AB8A15">
      <w:pPr>
        <w:spacing w:line="56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2.完成情况</w:t>
      </w:r>
    </w:p>
    <w:p w14:paraId="1A0E306F">
      <w:pPr>
        <w:spacing w:line="56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2025年海淀区铸强公平优质的基础教育基石，落实城乡义务教育保障机制、保障学校正常运转，加强统筹，提升学生身心健康水平，促进教育公平，推进义务教育优质均衡发展。</w:t>
      </w:r>
    </w:p>
    <w:p w14:paraId="76F1A6AA">
      <w:pPr>
        <w:numPr>
          <w:ilvl w:val="0"/>
          <w:numId w:val="0"/>
        </w:numPr>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kern w:val="2"/>
          <w:sz w:val="32"/>
          <w:szCs w:val="32"/>
          <w:highlight w:val="none"/>
          <w:lang w:val="en-US" w:eastAsia="zh-CN" w:bidi="ar-SA"/>
        </w:rPr>
        <w:t>（二）</w:t>
      </w:r>
      <w:r>
        <w:rPr>
          <w:rFonts w:hint="eastAsia" w:ascii="楷体_GB2312" w:hAnsi="楷体_GB2312" w:eastAsia="楷体_GB2312" w:cs="楷体_GB2312"/>
          <w:sz w:val="32"/>
          <w:szCs w:val="32"/>
          <w:highlight w:val="none"/>
        </w:rPr>
        <w:t>绩效指标完成情况分析。</w:t>
      </w:r>
    </w:p>
    <w:p w14:paraId="493833C9">
      <w:pPr>
        <w:spacing w:line="56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1.产出指标分解下达和完成情况分析</w:t>
      </w:r>
    </w:p>
    <w:p w14:paraId="2CBBE34D">
      <w:pPr>
        <w:spacing w:line="56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根据项目情况，将产出指标分解为二级数量指标和质量指标。数量指标分为生均公用经费、享受免费教科书政策的学生比例、家庭经济困难学生享受生活补助比例和覆盖足球特色学校数量；质量指标分为农村学校校舍日常维修改造质量达标率和教科书质量合格率。</w:t>
      </w:r>
    </w:p>
    <w:tbl>
      <w:tblPr>
        <w:tblStyle w:val="12"/>
        <w:tblW w:w="894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19"/>
        <w:gridCol w:w="1219"/>
        <w:gridCol w:w="1581"/>
        <w:gridCol w:w="2766"/>
        <w:gridCol w:w="2161"/>
      </w:tblGrid>
      <w:tr w14:paraId="54615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219" w:type="dxa"/>
            <w:tcBorders>
              <w:top w:val="single" w:color="000000" w:sz="4" w:space="0"/>
              <w:left w:val="nil"/>
              <w:bottom w:val="single" w:color="000000" w:sz="4" w:space="0"/>
              <w:right w:val="single" w:color="000000" w:sz="4" w:space="0"/>
            </w:tcBorders>
            <w:shd w:val="clear" w:color="auto" w:fill="auto"/>
            <w:vAlign w:val="center"/>
          </w:tcPr>
          <w:p w14:paraId="56C337F8">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一级指标</w:t>
            </w:r>
          </w:p>
        </w:tc>
        <w:tc>
          <w:tcPr>
            <w:tcW w:w="1219" w:type="dxa"/>
            <w:tcBorders>
              <w:top w:val="single" w:color="000000" w:sz="4" w:space="0"/>
              <w:left w:val="nil"/>
              <w:bottom w:val="single" w:color="000000" w:sz="4" w:space="0"/>
              <w:right w:val="single" w:color="000000" w:sz="4" w:space="0"/>
            </w:tcBorders>
            <w:shd w:val="clear" w:color="auto" w:fill="auto"/>
            <w:vAlign w:val="center"/>
          </w:tcPr>
          <w:p w14:paraId="3F69C244">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二级指标</w:t>
            </w:r>
          </w:p>
        </w:tc>
        <w:tc>
          <w:tcPr>
            <w:tcW w:w="0" w:type="auto"/>
            <w:tcBorders>
              <w:top w:val="single" w:color="000000" w:sz="4" w:space="0"/>
              <w:left w:val="nil"/>
              <w:bottom w:val="single" w:color="000000" w:sz="4" w:space="0"/>
              <w:right w:val="single" w:color="000000" w:sz="4" w:space="0"/>
            </w:tcBorders>
            <w:shd w:val="clear" w:color="auto" w:fill="auto"/>
            <w:vAlign w:val="center"/>
          </w:tcPr>
          <w:p w14:paraId="5B8672EF">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三级指标</w:t>
            </w:r>
          </w:p>
        </w:tc>
        <w:tc>
          <w:tcPr>
            <w:tcW w:w="2766" w:type="dxa"/>
            <w:tcBorders>
              <w:top w:val="single" w:color="000000" w:sz="4" w:space="0"/>
              <w:left w:val="nil"/>
              <w:bottom w:val="single" w:color="000000" w:sz="4" w:space="0"/>
              <w:right w:val="single" w:color="000000" w:sz="4" w:space="0"/>
            </w:tcBorders>
            <w:shd w:val="clear" w:color="auto" w:fill="auto"/>
            <w:vAlign w:val="center"/>
          </w:tcPr>
          <w:p w14:paraId="45F63182">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指标值</w:t>
            </w:r>
          </w:p>
        </w:tc>
        <w:tc>
          <w:tcPr>
            <w:tcW w:w="2161" w:type="dxa"/>
            <w:tcBorders>
              <w:top w:val="single" w:color="000000" w:sz="4" w:space="0"/>
              <w:left w:val="nil"/>
              <w:bottom w:val="single" w:color="000000" w:sz="4" w:space="0"/>
              <w:right w:val="single" w:color="000000" w:sz="4" w:space="0"/>
            </w:tcBorders>
            <w:shd w:val="clear" w:color="auto" w:fill="auto"/>
            <w:vAlign w:val="center"/>
          </w:tcPr>
          <w:p w14:paraId="2FD095EA">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全年实际完成值</w:t>
            </w:r>
          </w:p>
        </w:tc>
      </w:tr>
      <w:tr w14:paraId="50380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19" w:type="dxa"/>
            <w:vMerge w:val="restart"/>
            <w:tcBorders>
              <w:top w:val="nil"/>
              <w:left w:val="nil"/>
              <w:right w:val="single" w:color="000000" w:sz="4" w:space="0"/>
            </w:tcBorders>
            <w:shd w:val="clear" w:color="auto" w:fill="auto"/>
            <w:vAlign w:val="center"/>
          </w:tcPr>
          <w:p w14:paraId="6875E30A">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产出指标</w:t>
            </w:r>
          </w:p>
        </w:tc>
        <w:tc>
          <w:tcPr>
            <w:tcW w:w="1219" w:type="dxa"/>
            <w:vMerge w:val="restart"/>
            <w:tcBorders>
              <w:top w:val="nil"/>
              <w:left w:val="nil"/>
              <w:right w:val="single" w:color="000000" w:sz="4" w:space="0"/>
            </w:tcBorders>
            <w:shd w:val="clear" w:color="auto" w:fill="auto"/>
            <w:vAlign w:val="center"/>
          </w:tcPr>
          <w:p w14:paraId="7F739C3E">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数量指标</w:t>
            </w:r>
          </w:p>
        </w:tc>
        <w:tc>
          <w:tcPr>
            <w:tcW w:w="0" w:type="auto"/>
            <w:tcBorders>
              <w:top w:val="nil"/>
              <w:left w:val="nil"/>
              <w:bottom w:val="single" w:color="000000" w:sz="4" w:space="0"/>
              <w:right w:val="single" w:color="000000" w:sz="4" w:space="0"/>
            </w:tcBorders>
            <w:shd w:val="clear" w:color="auto" w:fill="auto"/>
            <w:vAlign w:val="center"/>
          </w:tcPr>
          <w:p w14:paraId="0087D25A">
            <w:pPr>
              <w:keepNext/>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生均公用经费</w:t>
            </w:r>
          </w:p>
        </w:tc>
        <w:tc>
          <w:tcPr>
            <w:tcW w:w="2766" w:type="dxa"/>
            <w:tcBorders>
              <w:top w:val="nil"/>
              <w:left w:val="nil"/>
              <w:bottom w:val="single" w:color="000000" w:sz="4" w:space="0"/>
              <w:right w:val="single" w:color="000000" w:sz="4" w:space="0"/>
            </w:tcBorders>
            <w:shd w:val="clear" w:color="auto" w:fill="auto"/>
            <w:vAlign w:val="center"/>
          </w:tcPr>
          <w:p w14:paraId="5F5C902E">
            <w:pPr>
              <w:keepNext/>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小学不低于720元/生</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年、初中不低于940元/生</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年、特教不低于6000元/生</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年</w:t>
            </w:r>
          </w:p>
        </w:tc>
        <w:tc>
          <w:tcPr>
            <w:tcW w:w="2161" w:type="dxa"/>
            <w:tcBorders>
              <w:top w:val="nil"/>
              <w:left w:val="nil"/>
              <w:bottom w:val="single" w:color="000000" w:sz="4" w:space="0"/>
              <w:right w:val="single" w:color="000000" w:sz="4" w:space="0"/>
            </w:tcBorders>
            <w:shd w:val="clear" w:color="auto" w:fill="auto"/>
            <w:vAlign w:val="center"/>
          </w:tcPr>
          <w:p w14:paraId="3A3E4549">
            <w:pPr>
              <w:keepNext/>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小学1650元/生</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年；初中1750元/生</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年；特教12000元/生</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年</w:t>
            </w:r>
          </w:p>
        </w:tc>
      </w:tr>
      <w:tr w14:paraId="0F947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19" w:type="dxa"/>
            <w:vMerge w:val="continue"/>
            <w:tcBorders>
              <w:left w:val="nil"/>
              <w:right w:val="single" w:color="000000" w:sz="4" w:space="0"/>
            </w:tcBorders>
            <w:shd w:val="clear" w:color="auto" w:fill="auto"/>
            <w:vAlign w:val="center"/>
          </w:tcPr>
          <w:p w14:paraId="7C2AD7DE">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1219" w:type="dxa"/>
            <w:vMerge w:val="continue"/>
            <w:tcBorders>
              <w:left w:val="nil"/>
              <w:right w:val="single" w:color="000000" w:sz="4" w:space="0"/>
            </w:tcBorders>
            <w:shd w:val="clear" w:color="auto" w:fill="auto"/>
            <w:vAlign w:val="center"/>
          </w:tcPr>
          <w:p w14:paraId="6C8093A9">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0" w:type="auto"/>
            <w:tcBorders>
              <w:top w:val="nil"/>
              <w:left w:val="nil"/>
              <w:bottom w:val="single" w:color="000000" w:sz="4" w:space="0"/>
              <w:right w:val="single" w:color="000000" w:sz="4" w:space="0"/>
            </w:tcBorders>
            <w:shd w:val="clear" w:color="auto" w:fill="auto"/>
            <w:vAlign w:val="center"/>
          </w:tcPr>
          <w:p w14:paraId="7EB1A4D7">
            <w:pPr>
              <w:keepNext/>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享受免费教科书政策的学生比例</w:t>
            </w:r>
          </w:p>
        </w:tc>
        <w:tc>
          <w:tcPr>
            <w:tcW w:w="2766" w:type="dxa"/>
            <w:tcBorders>
              <w:top w:val="nil"/>
              <w:left w:val="nil"/>
              <w:bottom w:val="single" w:color="000000" w:sz="4" w:space="0"/>
              <w:right w:val="single" w:color="000000" w:sz="4" w:space="0"/>
            </w:tcBorders>
            <w:shd w:val="clear" w:color="auto" w:fill="auto"/>
            <w:vAlign w:val="center"/>
          </w:tcPr>
          <w:p w14:paraId="7E956A1C">
            <w:pPr>
              <w:keepNext/>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100%</w:t>
            </w:r>
          </w:p>
        </w:tc>
        <w:tc>
          <w:tcPr>
            <w:tcW w:w="2161" w:type="dxa"/>
            <w:tcBorders>
              <w:top w:val="nil"/>
              <w:left w:val="nil"/>
              <w:bottom w:val="single" w:color="000000" w:sz="4" w:space="0"/>
              <w:right w:val="single" w:color="000000" w:sz="4" w:space="0"/>
            </w:tcBorders>
            <w:shd w:val="clear" w:color="auto" w:fill="auto"/>
            <w:vAlign w:val="center"/>
          </w:tcPr>
          <w:p w14:paraId="17BEDBAB">
            <w:pPr>
              <w:keepNext/>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100%</w:t>
            </w:r>
          </w:p>
        </w:tc>
      </w:tr>
      <w:tr w14:paraId="773C9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19" w:type="dxa"/>
            <w:vMerge w:val="continue"/>
            <w:tcBorders>
              <w:left w:val="nil"/>
              <w:right w:val="single" w:color="000000" w:sz="4" w:space="0"/>
            </w:tcBorders>
            <w:shd w:val="clear" w:color="auto" w:fill="auto"/>
            <w:vAlign w:val="center"/>
          </w:tcPr>
          <w:p w14:paraId="0541DE9B">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1219" w:type="dxa"/>
            <w:vMerge w:val="continue"/>
            <w:tcBorders>
              <w:left w:val="nil"/>
              <w:right w:val="single" w:color="000000" w:sz="4" w:space="0"/>
            </w:tcBorders>
            <w:shd w:val="clear" w:color="auto" w:fill="auto"/>
            <w:vAlign w:val="center"/>
          </w:tcPr>
          <w:p w14:paraId="1B0C69D7">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0" w:type="auto"/>
            <w:tcBorders>
              <w:top w:val="nil"/>
              <w:left w:val="nil"/>
              <w:bottom w:val="single" w:color="000000" w:sz="4" w:space="0"/>
              <w:right w:val="single" w:color="000000" w:sz="4" w:space="0"/>
            </w:tcBorders>
            <w:shd w:val="clear" w:color="auto" w:fill="auto"/>
            <w:vAlign w:val="center"/>
          </w:tcPr>
          <w:p w14:paraId="03C364E7">
            <w:pPr>
              <w:keepNext/>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家庭经济困难学生享受生活补助比例</w:t>
            </w:r>
          </w:p>
        </w:tc>
        <w:tc>
          <w:tcPr>
            <w:tcW w:w="2766" w:type="dxa"/>
            <w:tcBorders>
              <w:top w:val="nil"/>
              <w:left w:val="nil"/>
              <w:bottom w:val="single" w:color="000000" w:sz="4" w:space="0"/>
              <w:right w:val="single" w:color="000000" w:sz="4" w:space="0"/>
            </w:tcBorders>
            <w:shd w:val="clear" w:color="auto" w:fill="auto"/>
            <w:vAlign w:val="center"/>
          </w:tcPr>
          <w:p w14:paraId="0C38E303">
            <w:pPr>
              <w:keepNext/>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100%</w:t>
            </w:r>
          </w:p>
        </w:tc>
        <w:tc>
          <w:tcPr>
            <w:tcW w:w="2161" w:type="dxa"/>
            <w:tcBorders>
              <w:top w:val="nil"/>
              <w:left w:val="nil"/>
              <w:bottom w:val="single" w:color="000000" w:sz="4" w:space="0"/>
              <w:right w:val="single" w:color="000000" w:sz="4" w:space="0"/>
            </w:tcBorders>
            <w:shd w:val="clear" w:color="auto" w:fill="auto"/>
            <w:vAlign w:val="center"/>
          </w:tcPr>
          <w:p w14:paraId="6BFC3D83">
            <w:pPr>
              <w:keepNext/>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100%</w:t>
            </w:r>
          </w:p>
        </w:tc>
      </w:tr>
      <w:tr w14:paraId="18102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19" w:type="dxa"/>
            <w:vMerge w:val="continue"/>
            <w:tcBorders>
              <w:left w:val="nil"/>
              <w:right w:val="single" w:color="000000" w:sz="4" w:space="0"/>
            </w:tcBorders>
            <w:shd w:val="clear" w:color="auto" w:fill="auto"/>
            <w:vAlign w:val="center"/>
          </w:tcPr>
          <w:p w14:paraId="136FFDF0">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1219" w:type="dxa"/>
            <w:vMerge w:val="continue"/>
            <w:tcBorders>
              <w:left w:val="nil"/>
              <w:bottom w:val="single" w:color="000000" w:sz="4" w:space="0"/>
              <w:right w:val="single" w:color="000000" w:sz="4" w:space="0"/>
            </w:tcBorders>
            <w:shd w:val="clear" w:color="auto" w:fill="auto"/>
            <w:vAlign w:val="center"/>
          </w:tcPr>
          <w:p w14:paraId="08018CE0">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0" w:type="auto"/>
            <w:tcBorders>
              <w:top w:val="nil"/>
              <w:left w:val="nil"/>
              <w:bottom w:val="single" w:color="000000" w:sz="4" w:space="0"/>
              <w:right w:val="single" w:color="000000" w:sz="4" w:space="0"/>
            </w:tcBorders>
            <w:shd w:val="clear" w:color="auto" w:fill="auto"/>
            <w:vAlign w:val="center"/>
          </w:tcPr>
          <w:p w14:paraId="1EABB6DC">
            <w:pPr>
              <w:keepNext/>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覆盖足球特色学校数量</w:t>
            </w:r>
          </w:p>
        </w:tc>
        <w:tc>
          <w:tcPr>
            <w:tcW w:w="2766" w:type="dxa"/>
            <w:tcBorders>
              <w:top w:val="nil"/>
              <w:left w:val="nil"/>
              <w:bottom w:val="single" w:color="000000" w:sz="4" w:space="0"/>
              <w:right w:val="single" w:color="000000" w:sz="4" w:space="0"/>
            </w:tcBorders>
            <w:shd w:val="clear" w:color="auto" w:fill="auto"/>
            <w:vAlign w:val="center"/>
          </w:tcPr>
          <w:p w14:paraId="1B7FEE76">
            <w:pPr>
              <w:keepNext/>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54所</w:t>
            </w:r>
          </w:p>
        </w:tc>
        <w:tc>
          <w:tcPr>
            <w:tcW w:w="2161" w:type="dxa"/>
            <w:tcBorders>
              <w:top w:val="nil"/>
              <w:left w:val="nil"/>
              <w:bottom w:val="single" w:color="000000" w:sz="4" w:space="0"/>
              <w:right w:val="single" w:color="000000" w:sz="4" w:space="0"/>
            </w:tcBorders>
            <w:shd w:val="clear" w:color="auto" w:fill="auto"/>
            <w:vAlign w:val="center"/>
          </w:tcPr>
          <w:p w14:paraId="49786F61">
            <w:pPr>
              <w:keepNext/>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54所</w:t>
            </w:r>
          </w:p>
        </w:tc>
      </w:tr>
      <w:tr w14:paraId="7A9BF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19" w:type="dxa"/>
            <w:vMerge w:val="continue"/>
            <w:tcBorders>
              <w:left w:val="nil"/>
              <w:right w:val="single" w:color="000000" w:sz="4" w:space="0"/>
            </w:tcBorders>
            <w:shd w:val="clear" w:color="auto" w:fill="auto"/>
            <w:vAlign w:val="center"/>
          </w:tcPr>
          <w:p w14:paraId="0553B28C">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1219" w:type="dxa"/>
            <w:vMerge w:val="restart"/>
            <w:tcBorders>
              <w:top w:val="nil"/>
              <w:left w:val="nil"/>
              <w:right w:val="single" w:color="000000" w:sz="4" w:space="0"/>
            </w:tcBorders>
            <w:shd w:val="clear" w:color="auto" w:fill="auto"/>
            <w:vAlign w:val="center"/>
          </w:tcPr>
          <w:p w14:paraId="4000C169">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质量指标</w:t>
            </w:r>
          </w:p>
        </w:tc>
        <w:tc>
          <w:tcPr>
            <w:tcW w:w="0" w:type="auto"/>
            <w:tcBorders>
              <w:top w:val="nil"/>
              <w:left w:val="nil"/>
              <w:bottom w:val="single" w:color="000000" w:sz="4" w:space="0"/>
              <w:right w:val="single" w:color="000000" w:sz="4" w:space="0"/>
            </w:tcBorders>
            <w:shd w:val="clear" w:color="auto" w:fill="auto"/>
            <w:vAlign w:val="center"/>
          </w:tcPr>
          <w:p w14:paraId="32018710">
            <w:pPr>
              <w:keepNext/>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农村学校校舍日常维修改造质量达标率</w:t>
            </w:r>
          </w:p>
        </w:tc>
        <w:tc>
          <w:tcPr>
            <w:tcW w:w="2766" w:type="dxa"/>
            <w:tcBorders>
              <w:top w:val="nil"/>
              <w:left w:val="nil"/>
              <w:bottom w:val="single" w:color="000000" w:sz="4" w:space="0"/>
              <w:right w:val="single" w:color="000000" w:sz="4" w:space="0"/>
            </w:tcBorders>
            <w:shd w:val="clear" w:color="auto" w:fill="auto"/>
            <w:vAlign w:val="center"/>
          </w:tcPr>
          <w:p w14:paraId="36395333">
            <w:pPr>
              <w:keepNext/>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100%</w:t>
            </w:r>
          </w:p>
        </w:tc>
        <w:tc>
          <w:tcPr>
            <w:tcW w:w="2161" w:type="dxa"/>
            <w:tcBorders>
              <w:top w:val="nil"/>
              <w:left w:val="nil"/>
              <w:bottom w:val="single" w:color="000000" w:sz="4" w:space="0"/>
              <w:right w:val="single" w:color="000000" w:sz="4" w:space="0"/>
            </w:tcBorders>
            <w:shd w:val="clear" w:color="auto" w:fill="auto"/>
            <w:vAlign w:val="center"/>
          </w:tcPr>
          <w:p w14:paraId="7739C1A6">
            <w:pPr>
              <w:keepNext/>
              <w:snapToGrid w:val="0"/>
              <w:ind w:left="0" w:leftChars="0" w:right="0" w:rightChars="0" w:firstLine="0" w:firstLineChars="0"/>
              <w:jc w:val="right"/>
              <w:rPr>
                <w:rFonts w:hint="default"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不涉及</w:t>
            </w:r>
          </w:p>
        </w:tc>
      </w:tr>
      <w:tr w14:paraId="4A726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19" w:type="dxa"/>
            <w:vMerge w:val="continue"/>
            <w:tcBorders>
              <w:left w:val="nil"/>
              <w:bottom w:val="single" w:color="000000" w:sz="4" w:space="0"/>
              <w:right w:val="single" w:color="000000" w:sz="4" w:space="0"/>
            </w:tcBorders>
            <w:shd w:val="clear" w:color="auto" w:fill="auto"/>
            <w:vAlign w:val="center"/>
          </w:tcPr>
          <w:p w14:paraId="67D97B8C">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1219" w:type="dxa"/>
            <w:vMerge w:val="continue"/>
            <w:tcBorders>
              <w:left w:val="nil"/>
              <w:bottom w:val="single" w:color="000000" w:sz="4" w:space="0"/>
              <w:right w:val="single" w:color="000000" w:sz="4" w:space="0"/>
            </w:tcBorders>
            <w:shd w:val="clear" w:color="auto" w:fill="auto"/>
            <w:vAlign w:val="center"/>
          </w:tcPr>
          <w:p w14:paraId="443B1B3E">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1581" w:type="dxa"/>
            <w:tcBorders>
              <w:top w:val="nil"/>
              <w:left w:val="nil"/>
              <w:bottom w:val="single" w:color="000000" w:sz="4" w:space="0"/>
              <w:right w:val="single" w:color="000000" w:sz="4" w:space="0"/>
            </w:tcBorders>
            <w:shd w:val="clear" w:color="auto" w:fill="auto"/>
            <w:vAlign w:val="center"/>
          </w:tcPr>
          <w:p w14:paraId="2B297D5A">
            <w:pPr>
              <w:keepNext/>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教科书质量合格率</w:t>
            </w:r>
          </w:p>
        </w:tc>
        <w:tc>
          <w:tcPr>
            <w:tcW w:w="2766" w:type="dxa"/>
            <w:tcBorders>
              <w:top w:val="nil"/>
              <w:left w:val="nil"/>
              <w:bottom w:val="single" w:color="000000" w:sz="4" w:space="0"/>
              <w:right w:val="single" w:color="000000" w:sz="4" w:space="0"/>
            </w:tcBorders>
            <w:shd w:val="clear" w:color="auto" w:fill="auto"/>
            <w:vAlign w:val="center"/>
          </w:tcPr>
          <w:p w14:paraId="4DD8BE6C">
            <w:pPr>
              <w:keepNext/>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100%</w:t>
            </w:r>
          </w:p>
        </w:tc>
        <w:tc>
          <w:tcPr>
            <w:tcW w:w="2161" w:type="dxa"/>
            <w:tcBorders>
              <w:top w:val="nil"/>
              <w:left w:val="nil"/>
              <w:bottom w:val="single" w:color="000000" w:sz="4" w:space="0"/>
              <w:right w:val="single" w:color="000000" w:sz="4" w:space="0"/>
            </w:tcBorders>
            <w:shd w:val="clear" w:color="auto" w:fill="auto"/>
            <w:vAlign w:val="center"/>
          </w:tcPr>
          <w:p w14:paraId="1BDD72F2">
            <w:pPr>
              <w:keepNext/>
              <w:keepLines w:val="0"/>
              <w:widowControl/>
              <w:suppressLineNumbers w:val="0"/>
              <w:snapToGrid w:val="0"/>
              <w:ind w:left="0" w:leftChars="0" w:right="0" w:rightChars="0" w:firstLine="0" w:firstLineChars="0"/>
              <w:jc w:val="righ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100%</w:t>
            </w:r>
          </w:p>
        </w:tc>
      </w:tr>
    </w:tbl>
    <w:p w14:paraId="3B8AB953">
      <w:pPr>
        <w:spacing w:line="56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2.效益指标分解下达和完成情况分析</w:t>
      </w:r>
    </w:p>
    <w:p w14:paraId="791293A6">
      <w:pPr>
        <w:spacing w:line="56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根据项目情况，将效益指标分解为二级社会效益指标。社会效益指标为义务教育优质均衡发展程度，为保障教育公平发展，优化教育发展环境，持续健全与完善基础教育经费保障机制。</w:t>
      </w:r>
    </w:p>
    <w:p w14:paraId="055CB13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highlight w:val="none"/>
        </w:rPr>
      </w:pPr>
    </w:p>
    <w:tbl>
      <w:tblPr>
        <w:tblStyle w:val="12"/>
        <w:tblW w:w="88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19"/>
        <w:gridCol w:w="1656"/>
        <w:gridCol w:w="2915"/>
        <w:gridCol w:w="1216"/>
        <w:gridCol w:w="1799"/>
      </w:tblGrid>
      <w:tr w14:paraId="75BDE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219" w:type="dxa"/>
            <w:tcBorders>
              <w:top w:val="single" w:color="000000" w:sz="4" w:space="0"/>
              <w:left w:val="nil"/>
              <w:bottom w:val="single" w:color="000000" w:sz="4" w:space="0"/>
              <w:right w:val="single" w:color="000000" w:sz="4" w:space="0"/>
            </w:tcBorders>
            <w:shd w:val="clear" w:color="auto" w:fill="auto"/>
            <w:vAlign w:val="center"/>
          </w:tcPr>
          <w:p w14:paraId="44D3D5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一级指标</w:t>
            </w:r>
          </w:p>
        </w:tc>
        <w:tc>
          <w:tcPr>
            <w:tcW w:w="1656" w:type="dxa"/>
            <w:tcBorders>
              <w:top w:val="single" w:color="000000" w:sz="4" w:space="0"/>
              <w:left w:val="nil"/>
              <w:bottom w:val="single" w:color="000000" w:sz="4" w:space="0"/>
              <w:right w:val="single" w:color="000000" w:sz="4" w:space="0"/>
            </w:tcBorders>
            <w:shd w:val="clear" w:color="auto" w:fill="auto"/>
            <w:vAlign w:val="center"/>
          </w:tcPr>
          <w:p w14:paraId="3544FE9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二级指标</w:t>
            </w:r>
          </w:p>
        </w:tc>
        <w:tc>
          <w:tcPr>
            <w:tcW w:w="0" w:type="auto"/>
            <w:tcBorders>
              <w:top w:val="single" w:color="000000" w:sz="4" w:space="0"/>
              <w:left w:val="nil"/>
              <w:bottom w:val="single" w:color="000000" w:sz="4" w:space="0"/>
              <w:right w:val="single" w:color="000000" w:sz="4" w:space="0"/>
            </w:tcBorders>
            <w:shd w:val="clear" w:color="auto" w:fill="auto"/>
            <w:vAlign w:val="center"/>
          </w:tcPr>
          <w:p w14:paraId="58C29E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三级指标</w:t>
            </w:r>
          </w:p>
        </w:tc>
        <w:tc>
          <w:tcPr>
            <w:tcW w:w="1216" w:type="dxa"/>
            <w:tcBorders>
              <w:top w:val="single" w:color="000000" w:sz="4" w:space="0"/>
              <w:left w:val="nil"/>
              <w:bottom w:val="single" w:color="000000" w:sz="4" w:space="0"/>
              <w:right w:val="single" w:color="000000" w:sz="4" w:space="0"/>
            </w:tcBorders>
            <w:shd w:val="clear" w:color="auto" w:fill="auto"/>
            <w:vAlign w:val="center"/>
          </w:tcPr>
          <w:p w14:paraId="0BFE960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指标值</w:t>
            </w:r>
          </w:p>
        </w:tc>
        <w:tc>
          <w:tcPr>
            <w:tcW w:w="1799" w:type="dxa"/>
            <w:tcBorders>
              <w:top w:val="single" w:color="000000" w:sz="4" w:space="0"/>
              <w:left w:val="nil"/>
              <w:bottom w:val="single" w:color="000000" w:sz="4" w:space="0"/>
              <w:right w:val="single" w:color="000000" w:sz="4" w:space="0"/>
            </w:tcBorders>
            <w:shd w:val="clear" w:color="auto" w:fill="auto"/>
            <w:vAlign w:val="center"/>
          </w:tcPr>
          <w:p w14:paraId="00AD277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全年实际完成值</w:t>
            </w:r>
          </w:p>
        </w:tc>
      </w:tr>
      <w:tr w14:paraId="6C63D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19" w:type="dxa"/>
            <w:tcBorders>
              <w:top w:val="nil"/>
              <w:left w:val="nil"/>
              <w:bottom w:val="single" w:color="000000" w:sz="4" w:space="0"/>
              <w:right w:val="single" w:color="000000" w:sz="4" w:space="0"/>
            </w:tcBorders>
            <w:shd w:val="clear" w:color="auto" w:fill="auto"/>
            <w:vAlign w:val="center"/>
          </w:tcPr>
          <w:p w14:paraId="015CE93F">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效益指标</w:t>
            </w:r>
          </w:p>
        </w:tc>
        <w:tc>
          <w:tcPr>
            <w:tcW w:w="1656" w:type="dxa"/>
            <w:tcBorders>
              <w:top w:val="nil"/>
              <w:left w:val="nil"/>
              <w:bottom w:val="single" w:color="000000" w:sz="4" w:space="0"/>
              <w:right w:val="single" w:color="000000" w:sz="4" w:space="0"/>
            </w:tcBorders>
            <w:shd w:val="clear" w:color="auto" w:fill="auto"/>
            <w:vAlign w:val="center"/>
          </w:tcPr>
          <w:p w14:paraId="23274137">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社会效益指标</w:t>
            </w:r>
          </w:p>
        </w:tc>
        <w:tc>
          <w:tcPr>
            <w:tcW w:w="2915" w:type="dxa"/>
            <w:tcBorders>
              <w:top w:val="nil"/>
              <w:left w:val="nil"/>
              <w:bottom w:val="single" w:color="000000" w:sz="4" w:space="0"/>
              <w:right w:val="single" w:color="000000" w:sz="4" w:space="0"/>
            </w:tcBorders>
            <w:shd w:val="clear" w:color="auto" w:fill="auto"/>
            <w:vAlign w:val="center"/>
          </w:tcPr>
          <w:p w14:paraId="2B747291">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义务教育优质均衡发展程度</w:t>
            </w:r>
          </w:p>
        </w:tc>
        <w:tc>
          <w:tcPr>
            <w:tcW w:w="1216" w:type="dxa"/>
            <w:tcBorders>
              <w:top w:val="nil"/>
              <w:left w:val="nil"/>
              <w:bottom w:val="single" w:color="000000" w:sz="4" w:space="0"/>
              <w:right w:val="single" w:color="000000" w:sz="4" w:space="0"/>
            </w:tcBorders>
            <w:shd w:val="clear" w:color="auto" w:fill="auto"/>
            <w:vAlign w:val="center"/>
          </w:tcPr>
          <w:p w14:paraId="09786B55">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不断提高</w:t>
            </w:r>
          </w:p>
        </w:tc>
        <w:tc>
          <w:tcPr>
            <w:tcW w:w="1799" w:type="dxa"/>
            <w:tcBorders>
              <w:top w:val="nil"/>
              <w:left w:val="nil"/>
              <w:bottom w:val="single" w:color="000000" w:sz="4" w:space="0"/>
              <w:right w:val="single" w:color="000000" w:sz="4" w:space="0"/>
            </w:tcBorders>
            <w:shd w:val="clear" w:color="auto" w:fill="auto"/>
            <w:vAlign w:val="center"/>
          </w:tcPr>
          <w:p w14:paraId="3A78E3B1">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不断提高</w:t>
            </w:r>
          </w:p>
        </w:tc>
      </w:tr>
    </w:tbl>
    <w:p w14:paraId="48967B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textAlignment w:val="auto"/>
        <w:rPr>
          <w:rFonts w:hint="eastAsia" w:ascii="仿宋_GB2312" w:hAnsi="黑体" w:eastAsia="仿宋_GB2312"/>
          <w:sz w:val="32"/>
          <w:szCs w:val="32"/>
          <w:highlight w:val="none"/>
        </w:rPr>
      </w:pPr>
    </w:p>
    <w:p w14:paraId="6E6E0F46">
      <w:pPr>
        <w:spacing w:line="56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3.满意度指标分解下达和完成情况分析</w:t>
      </w:r>
    </w:p>
    <w:p w14:paraId="3F03BF5C">
      <w:pPr>
        <w:spacing w:line="56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根据项目情况，将满意度指标分解为二级服务对象满意度指标，通过分析资金覆盖范围，明确资金使用效益的三级具体指标，主要考虑受益学校满意度和受益师生满意度。</w:t>
      </w:r>
    </w:p>
    <w:p w14:paraId="63B3E69F">
      <w:pPr>
        <w:spacing w:line="560" w:lineRule="exact"/>
        <w:ind w:firstLine="640" w:firstLineChars="200"/>
        <w:rPr>
          <w:rFonts w:hint="eastAsia" w:ascii="仿宋_GB2312" w:hAnsi="仿宋" w:eastAsia="仿宋_GB2312"/>
          <w:sz w:val="32"/>
          <w:szCs w:val="32"/>
          <w:highlight w:val="none"/>
          <w:lang w:val="en-US" w:eastAsia="zh-CN"/>
        </w:rPr>
      </w:pPr>
    </w:p>
    <w:tbl>
      <w:tblPr>
        <w:tblStyle w:val="12"/>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55"/>
        <w:gridCol w:w="1549"/>
        <w:gridCol w:w="2323"/>
        <w:gridCol w:w="1031"/>
        <w:gridCol w:w="2064"/>
      </w:tblGrid>
      <w:tr w14:paraId="12DA9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555" w:type="dxa"/>
            <w:tcBorders>
              <w:top w:val="single" w:color="000000" w:sz="4" w:space="0"/>
              <w:left w:val="nil"/>
              <w:bottom w:val="single" w:color="000000" w:sz="4" w:space="0"/>
              <w:right w:val="single" w:color="000000" w:sz="4" w:space="0"/>
            </w:tcBorders>
            <w:shd w:val="clear" w:color="auto" w:fill="auto"/>
            <w:vAlign w:val="center"/>
          </w:tcPr>
          <w:p w14:paraId="1380B3AF">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一级指标</w:t>
            </w:r>
          </w:p>
        </w:tc>
        <w:tc>
          <w:tcPr>
            <w:tcW w:w="1549" w:type="dxa"/>
            <w:tcBorders>
              <w:top w:val="single" w:color="000000" w:sz="4" w:space="0"/>
              <w:left w:val="nil"/>
              <w:bottom w:val="single" w:color="000000" w:sz="4" w:space="0"/>
              <w:right w:val="single" w:color="000000" w:sz="4" w:space="0"/>
            </w:tcBorders>
            <w:shd w:val="clear" w:color="auto" w:fill="auto"/>
            <w:vAlign w:val="center"/>
          </w:tcPr>
          <w:p w14:paraId="267DE61F">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二级指标</w:t>
            </w:r>
          </w:p>
        </w:tc>
        <w:tc>
          <w:tcPr>
            <w:tcW w:w="2323" w:type="dxa"/>
            <w:tcBorders>
              <w:top w:val="single" w:color="000000" w:sz="4" w:space="0"/>
              <w:left w:val="nil"/>
              <w:bottom w:val="single" w:color="000000" w:sz="4" w:space="0"/>
              <w:right w:val="single" w:color="000000" w:sz="4" w:space="0"/>
            </w:tcBorders>
            <w:shd w:val="clear" w:color="auto" w:fill="auto"/>
            <w:vAlign w:val="center"/>
          </w:tcPr>
          <w:p w14:paraId="2BAB0836">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三级指标</w:t>
            </w:r>
          </w:p>
        </w:tc>
        <w:tc>
          <w:tcPr>
            <w:tcW w:w="1031" w:type="dxa"/>
            <w:tcBorders>
              <w:top w:val="single" w:color="000000" w:sz="4" w:space="0"/>
              <w:left w:val="nil"/>
              <w:bottom w:val="single" w:color="000000" w:sz="4" w:space="0"/>
              <w:right w:val="single" w:color="000000" w:sz="4" w:space="0"/>
            </w:tcBorders>
            <w:shd w:val="clear" w:color="auto" w:fill="auto"/>
            <w:vAlign w:val="center"/>
          </w:tcPr>
          <w:p w14:paraId="06C92EAD">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指标值</w:t>
            </w:r>
          </w:p>
        </w:tc>
        <w:tc>
          <w:tcPr>
            <w:tcW w:w="2064" w:type="dxa"/>
            <w:tcBorders>
              <w:top w:val="single" w:color="000000" w:sz="4" w:space="0"/>
              <w:left w:val="nil"/>
              <w:bottom w:val="single" w:color="000000" w:sz="4" w:space="0"/>
              <w:right w:val="single" w:color="000000" w:sz="4" w:space="0"/>
            </w:tcBorders>
            <w:shd w:val="clear" w:color="auto" w:fill="auto"/>
            <w:vAlign w:val="center"/>
          </w:tcPr>
          <w:p w14:paraId="2CAE9419">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全年实际完成值</w:t>
            </w:r>
          </w:p>
        </w:tc>
      </w:tr>
      <w:tr w14:paraId="4F6DD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555" w:type="dxa"/>
            <w:tcBorders>
              <w:top w:val="nil"/>
              <w:left w:val="nil"/>
              <w:bottom w:val="single" w:color="000000" w:sz="4" w:space="0"/>
              <w:right w:val="single" w:color="000000" w:sz="4" w:space="0"/>
            </w:tcBorders>
            <w:shd w:val="clear" w:color="auto" w:fill="auto"/>
            <w:vAlign w:val="center"/>
          </w:tcPr>
          <w:p w14:paraId="0C53EBEF">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满意度指标</w:t>
            </w:r>
          </w:p>
        </w:tc>
        <w:tc>
          <w:tcPr>
            <w:tcW w:w="1549" w:type="dxa"/>
            <w:tcBorders>
              <w:top w:val="nil"/>
              <w:left w:val="nil"/>
              <w:bottom w:val="single" w:color="000000" w:sz="4" w:space="0"/>
              <w:right w:val="single" w:color="000000" w:sz="4" w:space="0"/>
            </w:tcBorders>
            <w:shd w:val="clear" w:color="auto" w:fill="auto"/>
            <w:vAlign w:val="center"/>
          </w:tcPr>
          <w:p w14:paraId="75B054ED">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服务对象</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满意度指标</w:t>
            </w:r>
          </w:p>
        </w:tc>
        <w:tc>
          <w:tcPr>
            <w:tcW w:w="2323" w:type="dxa"/>
            <w:tcBorders>
              <w:top w:val="nil"/>
              <w:left w:val="nil"/>
              <w:bottom w:val="single" w:color="000000" w:sz="4" w:space="0"/>
              <w:right w:val="single" w:color="000000" w:sz="4" w:space="0"/>
            </w:tcBorders>
            <w:shd w:val="clear" w:color="auto" w:fill="auto"/>
            <w:vAlign w:val="center"/>
          </w:tcPr>
          <w:p w14:paraId="03C7109F">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学校和老师满意度</w:t>
            </w:r>
          </w:p>
        </w:tc>
        <w:tc>
          <w:tcPr>
            <w:tcW w:w="1031" w:type="dxa"/>
            <w:tcBorders>
              <w:top w:val="nil"/>
              <w:left w:val="nil"/>
              <w:bottom w:val="single" w:color="000000" w:sz="4" w:space="0"/>
              <w:right w:val="single" w:color="000000" w:sz="4" w:space="0"/>
            </w:tcBorders>
            <w:shd w:val="clear" w:color="auto" w:fill="auto"/>
            <w:vAlign w:val="center"/>
          </w:tcPr>
          <w:p w14:paraId="5C8F95FA">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≥85%</w:t>
            </w:r>
          </w:p>
        </w:tc>
        <w:tc>
          <w:tcPr>
            <w:tcW w:w="2064" w:type="dxa"/>
            <w:tcBorders>
              <w:top w:val="nil"/>
              <w:left w:val="nil"/>
              <w:bottom w:val="single" w:color="000000" w:sz="4" w:space="0"/>
              <w:right w:val="single" w:color="000000" w:sz="4" w:space="0"/>
            </w:tcBorders>
            <w:shd w:val="clear" w:color="auto" w:fill="auto"/>
            <w:vAlign w:val="center"/>
          </w:tcPr>
          <w:p w14:paraId="1D2C28E8">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95%</w:t>
            </w:r>
          </w:p>
        </w:tc>
      </w:tr>
      <w:tr w14:paraId="5A868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555" w:type="dxa"/>
            <w:tcBorders>
              <w:top w:val="nil"/>
              <w:left w:val="nil"/>
              <w:bottom w:val="single" w:color="000000" w:sz="4" w:space="0"/>
              <w:right w:val="single" w:color="000000" w:sz="4" w:space="0"/>
            </w:tcBorders>
            <w:shd w:val="clear" w:color="auto" w:fill="auto"/>
            <w:vAlign w:val="center"/>
          </w:tcPr>
          <w:p w14:paraId="21A2B725">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满意度指标</w:t>
            </w:r>
          </w:p>
        </w:tc>
        <w:tc>
          <w:tcPr>
            <w:tcW w:w="1549" w:type="dxa"/>
            <w:tcBorders>
              <w:top w:val="nil"/>
              <w:left w:val="nil"/>
              <w:bottom w:val="single" w:color="000000" w:sz="4" w:space="0"/>
              <w:right w:val="single" w:color="000000" w:sz="4" w:space="0"/>
            </w:tcBorders>
            <w:shd w:val="clear" w:color="auto" w:fill="auto"/>
            <w:vAlign w:val="center"/>
          </w:tcPr>
          <w:p w14:paraId="0319EFD4">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服务对象</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满意度指标</w:t>
            </w:r>
          </w:p>
        </w:tc>
        <w:tc>
          <w:tcPr>
            <w:tcW w:w="2323" w:type="dxa"/>
            <w:tcBorders>
              <w:top w:val="nil"/>
              <w:left w:val="nil"/>
              <w:bottom w:val="single" w:color="000000" w:sz="4" w:space="0"/>
              <w:right w:val="single" w:color="000000" w:sz="4" w:space="0"/>
            </w:tcBorders>
            <w:shd w:val="clear" w:color="auto" w:fill="auto"/>
            <w:vAlign w:val="center"/>
          </w:tcPr>
          <w:p w14:paraId="54BBA0D4">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家长和学生满意度</w:t>
            </w:r>
          </w:p>
        </w:tc>
        <w:tc>
          <w:tcPr>
            <w:tcW w:w="1031" w:type="dxa"/>
            <w:tcBorders>
              <w:top w:val="nil"/>
              <w:left w:val="nil"/>
              <w:bottom w:val="single" w:color="000000" w:sz="4" w:space="0"/>
              <w:right w:val="single" w:color="000000" w:sz="4" w:space="0"/>
            </w:tcBorders>
            <w:shd w:val="clear" w:color="auto" w:fill="auto"/>
            <w:vAlign w:val="center"/>
          </w:tcPr>
          <w:p w14:paraId="049A0A45">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≥85%</w:t>
            </w:r>
          </w:p>
        </w:tc>
        <w:tc>
          <w:tcPr>
            <w:tcW w:w="2064" w:type="dxa"/>
            <w:tcBorders>
              <w:top w:val="nil"/>
              <w:left w:val="nil"/>
              <w:bottom w:val="single" w:color="000000" w:sz="4" w:space="0"/>
              <w:right w:val="single" w:color="000000" w:sz="4" w:space="0"/>
            </w:tcBorders>
            <w:shd w:val="clear" w:color="auto" w:fill="auto"/>
            <w:vAlign w:val="center"/>
          </w:tcPr>
          <w:p w14:paraId="14CFE2C0">
            <w:pPr>
              <w:keepNext/>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95%</w:t>
            </w:r>
          </w:p>
        </w:tc>
      </w:tr>
    </w:tbl>
    <w:p w14:paraId="40FB2A74">
      <w:pPr>
        <w:spacing w:line="600" w:lineRule="exact"/>
        <w:ind w:firstLine="640" w:firstLineChars="200"/>
        <w:rPr>
          <w:rFonts w:hint="eastAsia" w:ascii="黑体" w:hAnsi="黑体" w:eastAsia="黑体" w:cs="黑体"/>
          <w:sz w:val="32"/>
          <w:szCs w:val="32"/>
          <w:highlight w:val="none"/>
        </w:rPr>
      </w:pPr>
    </w:p>
    <w:p w14:paraId="0E4C0EEE">
      <w:pPr>
        <w:spacing w:line="60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三、绩效自评结论</w:t>
      </w:r>
    </w:p>
    <w:p w14:paraId="1E2E9271">
      <w:pPr>
        <w:pStyle w:val="3"/>
        <w:ind w:firstLine="640"/>
        <w:rPr>
          <w:rFonts w:hint="eastAsia" w:ascii="楷体_GB2312" w:hAnsi="楷体_GB2312" w:eastAsia="楷体_GB2312" w:cs="楷体_GB2312"/>
          <w:sz w:val="32"/>
          <w:szCs w:val="32"/>
          <w:highlight w:val="none"/>
        </w:rPr>
      </w:pPr>
      <w:r>
        <w:rPr>
          <w:rFonts w:hint="eastAsia" w:ascii="仿宋_GB2312" w:hAnsi="仿宋" w:eastAsia="仿宋_GB2312"/>
          <w:sz w:val="32"/>
          <w:szCs w:val="32"/>
          <w:highlight w:val="none"/>
          <w:lang w:val="en-US" w:eastAsia="zh-CN"/>
        </w:rPr>
        <w:t>2025年，海淀区城乡义务教育补助转移支付资金总体执行情况良好，绩效目标全面实现。生均公用经费执行标准均高于国家基本标准，免费教科书和家庭经济困难学生生活补助实现全覆盖，足球特色学校建设完成年度目标，教科书质量合格率100%。义务教育优质均衡发展程度不断提高，学校和教师、家长和学生满意度均达95%，高于85%的目标值。综合评定，年度绩效自评等级建议为“优”。下一步将重点加快中央资金支出进度，持续提升资金使用效益。</w:t>
      </w:r>
    </w:p>
    <w:p w14:paraId="2D34B126">
      <w:pPr>
        <w:widowControl/>
        <w:overflowPunct/>
        <w:spacing w:line="560" w:lineRule="exact"/>
        <w:jc w:val="left"/>
        <w:rPr>
          <w:rFonts w:hint="eastAsia" w:ascii="黑体" w:hAnsi="黑体" w:eastAsia="黑体" w:cs="Times New Roman"/>
          <w:bCs w:val="0"/>
          <w:kern w:val="2"/>
          <w:sz w:val="32"/>
          <w:szCs w:val="32"/>
          <w:highlight w:val="none"/>
          <w:lang w:eastAsia="zh-CN" w:bidi="ar"/>
        </w:rPr>
      </w:pPr>
    </w:p>
    <w:p w14:paraId="21DF16D9">
      <w:pPr>
        <w:widowControl/>
        <w:overflowPunct/>
        <w:spacing w:line="560" w:lineRule="exact"/>
        <w:jc w:val="left"/>
        <w:rPr>
          <w:rFonts w:hint="eastAsia" w:ascii="黑体" w:hAnsi="黑体" w:eastAsia="黑体" w:cs="Times New Roman"/>
          <w:bCs w:val="0"/>
          <w:kern w:val="2"/>
          <w:sz w:val="32"/>
          <w:szCs w:val="32"/>
          <w:highlight w:val="none"/>
          <w:lang w:eastAsia="zh-CN" w:bidi="ar"/>
        </w:rPr>
      </w:pPr>
    </w:p>
    <w:p w14:paraId="7B7C0EA5">
      <w:pPr>
        <w:widowControl/>
        <w:overflowPunct/>
        <w:spacing w:line="560" w:lineRule="exact"/>
        <w:jc w:val="left"/>
        <w:rPr>
          <w:rFonts w:hint="eastAsia" w:ascii="黑体" w:hAnsi="黑体" w:eastAsia="黑体" w:cs="Times New Roman"/>
          <w:bCs w:val="0"/>
          <w:kern w:val="2"/>
          <w:sz w:val="32"/>
          <w:szCs w:val="32"/>
          <w:highlight w:val="none"/>
          <w:lang w:eastAsia="zh-CN" w:bidi="ar"/>
        </w:rPr>
      </w:pPr>
    </w:p>
    <w:p w14:paraId="63BDA169">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5</w:t>
      </w:r>
      <w:r>
        <w:rPr>
          <w:rFonts w:hint="eastAsia" w:ascii="方正小标宋简体" w:hAnsi="方正小标宋简体" w:eastAsia="方正小标宋简体" w:cs="方正小标宋简体"/>
          <w:sz w:val="44"/>
          <w:szCs w:val="44"/>
          <w:highlight w:val="none"/>
        </w:rPr>
        <w:t>年度中央对北京学生资助转移支付</w:t>
      </w:r>
    </w:p>
    <w:p w14:paraId="1087A1B2">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预算执行情况绩效自评报告</w:t>
      </w:r>
    </w:p>
    <w:p w14:paraId="1CE2F7C7">
      <w:pPr>
        <w:spacing w:line="600" w:lineRule="exact"/>
        <w:ind w:firstLine="640" w:firstLineChars="200"/>
        <w:rPr>
          <w:rFonts w:hint="eastAsia" w:ascii="黑体" w:hAnsi="黑体" w:eastAsia="黑体" w:cs="黑体"/>
          <w:sz w:val="32"/>
          <w:szCs w:val="32"/>
          <w:highlight w:val="none"/>
        </w:rPr>
      </w:pPr>
    </w:p>
    <w:p w14:paraId="16884253">
      <w:pPr>
        <w:spacing w:line="60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一、转移支付基本情况</w:t>
      </w:r>
    </w:p>
    <w:p w14:paraId="5AC10AED">
      <w:pPr>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（一）学生资助转移支付概况。</w:t>
      </w:r>
    </w:p>
    <w:p w14:paraId="418FC3EB">
      <w:pPr>
        <w:spacing w:line="560" w:lineRule="exact"/>
        <w:ind w:firstLine="640" w:firstLineChars="200"/>
        <w:rPr>
          <w:rFonts w:hint="eastAsia" w:ascii="楷体_GB2312" w:hAnsi="楷体_GB2312" w:eastAsia="楷体_GB2312" w:cs="楷体_GB2312"/>
          <w:sz w:val="32"/>
          <w:szCs w:val="32"/>
          <w:highlight w:val="none"/>
        </w:rPr>
      </w:pPr>
      <w:r>
        <w:rPr>
          <w:rFonts w:hint="eastAsia" w:ascii="仿宋_GB2312" w:hAnsi="仿宋" w:eastAsia="仿宋_GB2312"/>
          <w:sz w:val="32"/>
          <w:szCs w:val="32"/>
          <w:highlight w:val="none"/>
          <w:lang w:val="en-US" w:eastAsia="zh-CN"/>
        </w:rPr>
        <w:t>2025年，中央学生资助资金共</w:t>
      </w:r>
      <w:r>
        <w:rPr>
          <w:rFonts w:hint="eastAsia" w:ascii="仿宋_GB2312" w:hAnsi="仿宋" w:eastAsia="仿宋_GB2312"/>
          <w:b w:val="0"/>
          <w:bCs w:val="0"/>
          <w:color w:val="auto"/>
          <w:sz w:val="32"/>
          <w:szCs w:val="32"/>
          <w:highlight w:val="none"/>
          <w:lang w:val="en-US" w:eastAsia="zh-CN"/>
        </w:rPr>
        <w:t>下达我区</w:t>
      </w:r>
      <w:r>
        <w:rPr>
          <w:rFonts w:hint="eastAsia" w:ascii="仿宋_GB2312" w:hAnsi="仿宋" w:eastAsia="仿宋_GB2312"/>
          <w:sz w:val="32"/>
          <w:szCs w:val="32"/>
          <w:highlight w:val="none"/>
          <w:lang w:val="en-US" w:eastAsia="zh-CN"/>
        </w:rPr>
        <w:t>8万元。</w:t>
      </w:r>
    </w:p>
    <w:p w14:paraId="2E830411">
      <w:pPr>
        <w:numPr>
          <w:ilvl w:val="0"/>
          <w:numId w:val="0"/>
        </w:numPr>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kern w:val="2"/>
          <w:sz w:val="32"/>
          <w:szCs w:val="32"/>
          <w:highlight w:val="none"/>
          <w:lang w:val="en-US" w:eastAsia="zh-CN" w:bidi="ar-SA"/>
        </w:rPr>
        <w:t>（二）</w:t>
      </w:r>
      <w:r>
        <w:rPr>
          <w:rFonts w:hint="eastAsia" w:ascii="楷体_GB2312" w:hAnsi="楷体_GB2312" w:eastAsia="楷体_GB2312" w:cs="楷体_GB2312"/>
          <w:sz w:val="32"/>
          <w:szCs w:val="32"/>
          <w:highlight w:val="none"/>
        </w:rPr>
        <w:t>资金投入情况分析。</w:t>
      </w:r>
    </w:p>
    <w:p w14:paraId="7EFFA5F9">
      <w:pPr>
        <w:numPr>
          <w:ilvl w:val="-1"/>
          <w:numId w:val="0"/>
        </w:numPr>
        <w:spacing w:line="600" w:lineRule="exact"/>
        <w:ind w:firstLine="640" w:firstLineChars="200"/>
        <w:rPr>
          <w:rFonts w:hint="eastAsia" w:ascii="楷体_GB2312" w:hAnsi="楷体_GB2312" w:eastAsia="楷体_GB2312" w:cs="楷体_GB2312"/>
          <w:sz w:val="32"/>
          <w:szCs w:val="32"/>
          <w:highlight w:val="none"/>
        </w:rPr>
      </w:pPr>
      <w:r>
        <w:rPr>
          <w:rFonts w:hint="eastAsia" w:ascii="仿宋_GB2312" w:hAnsi="仿宋" w:eastAsia="仿宋_GB2312"/>
          <w:sz w:val="32"/>
          <w:szCs w:val="32"/>
          <w:highlight w:val="none"/>
          <w:lang w:val="en-US" w:eastAsia="zh-CN"/>
        </w:rPr>
        <w:t>截至2025年12月底，中央学生资助资金共支出8万元。</w:t>
      </w:r>
    </w:p>
    <w:p w14:paraId="48E676AA">
      <w:pPr>
        <w:numPr>
          <w:ilvl w:val="0"/>
          <w:numId w:val="0"/>
        </w:numPr>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kern w:val="2"/>
          <w:sz w:val="32"/>
          <w:szCs w:val="32"/>
          <w:highlight w:val="none"/>
          <w:lang w:val="en-US" w:eastAsia="zh-CN" w:bidi="ar-SA"/>
        </w:rPr>
        <w:t>（三）</w:t>
      </w:r>
      <w:r>
        <w:rPr>
          <w:rFonts w:hint="eastAsia" w:ascii="楷体_GB2312" w:hAnsi="楷体_GB2312" w:eastAsia="楷体_GB2312" w:cs="楷体_GB2312"/>
          <w:sz w:val="32"/>
          <w:szCs w:val="32"/>
          <w:highlight w:val="none"/>
        </w:rPr>
        <w:t>资金管理情况分析。</w:t>
      </w:r>
    </w:p>
    <w:p w14:paraId="708E02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在资金分配的科学性方面，严格依据资金管理办法及我区实际需求进行统筹，确保分配结果契合我区发展需要，做到科学合理、及时下达。</w:t>
      </w:r>
    </w:p>
    <w:p w14:paraId="7B6D8E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在预算绩效管理方面，通过加强绩效引导，优化预算分配与资金使用过程，保障资金高效运转和项目顺利推进。</w:t>
      </w:r>
    </w:p>
    <w:p w14:paraId="20A88148">
      <w:pPr>
        <w:numPr>
          <w:ilvl w:val="-1"/>
          <w:numId w:val="0"/>
        </w:numPr>
        <w:spacing w:line="600" w:lineRule="exact"/>
        <w:ind w:firstLine="0" w:firstLineChars="0"/>
        <w:rPr>
          <w:rFonts w:hint="eastAsia" w:ascii="楷体_GB2312" w:hAnsi="楷体_GB2312" w:eastAsia="楷体_GB2312" w:cs="楷体_GB2312"/>
          <w:sz w:val="32"/>
          <w:szCs w:val="32"/>
          <w:highlight w:val="none"/>
        </w:rPr>
      </w:pPr>
      <w:r>
        <w:rPr>
          <w:rFonts w:hint="eastAsia" w:ascii="仿宋_GB2312" w:hAnsi="仿宋_GB2312" w:eastAsia="仿宋_GB2312" w:cs="仿宋_GB2312"/>
          <w:sz w:val="32"/>
          <w:szCs w:val="32"/>
          <w:highlight w:val="none"/>
          <w:lang w:val="en-US" w:eastAsia="zh-CN"/>
        </w:rPr>
        <w:t>在支出责任履行方面，注重资金使用的合规性与有效性，强化对各项支出的规范管理，确保资金拨付符合规定、使用严格规范、执行准确到位。</w:t>
      </w:r>
    </w:p>
    <w:p w14:paraId="3986D59F">
      <w:pPr>
        <w:spacing w:line="60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二、绩效目标实现情况</w:t>
      </w:r>
    </w:p>
    <w:p w14:paraId="28EA59B4">
      <w:pPr>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（一）总体绩效目标完成情况分析。</w:t>
      </w:r>
    </w:p>
    <w:p w14:paraId="01011483">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outlineLvl w:val="3"/>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1.</w:t>
      </w:r>
      <w:r>
        <w:rPr>
          <w:rFonts w:hint="eastAsia" w:ascii="Times New Roman" w:hAnsi="Times New Roman" w:eastAsia="仿宋_GB2312" w:cs="Times New Roman"/>
          <w:sz w:val="32"/>
          <w:szCs w:val="32"/>
          <w:highlight w:val="none"/>
          <w:lang w:val="en-US" w:eastAsia="zh-CN"/>
        </w:rPr>
        <w:t>年度目标设定</w:t>
      </w:r>
    </w:p>
    <w:p w14:paraId="01C78F69">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outlineLvl w:val="9"/>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对中等职业教育</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普通高中在校生中符合资助政策要求的学生以及家庭经济困难的学生给予资助，助力学生成长成才，促进教育公平。</w:t>
      </w:r>
    </w:p>
    <w:p w14:paraId="7D71B025">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outlineLvl w:val="3"/>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lang w:val="en-US" w:eastAsia="zh-CN"/>
        </w:rPr>
        <w:t>完成情况</w:t>
      </w:r>
    </w:p>
    <w:p w14:paraId="6E1081E8">
      <w:pPr>
        <w:numPr>
          <w:ilvl w:val="0"/>
          <w:numId w:val="0"/>
        </w:numPr>
        <w:spacing w:line="560" w:lineRule="exact"/>
        <w:ind w:firstLine="640" w:firstLineChars="200"/>
        <w:rPr>
          <w:rFonts w:hint="eastAsia" w:ascii="楷体_GB2312" w:hAnsi="楷体_GB2312" w:eastAsia="楷体_GB2312" w:cs="楷体_GB2312"/>
          <w:sz w:val="32"/>
          <w:szCs w:val="32"/>
          <w:highlight w:val="none"/>
        </w:rPr>
      </w:pPr>
      <w:r>
        <w:rPr>
          <w:rFonts w:ascii="Times New Roman" w:hAnsi="Times New Roman" w:eastAsia="仿宋_GB2312" w:cs="Times New Roman"/>
          <w:kern w:val="2"/>
          <w:sz w:val="32"/>
          <w:szCs w:val="32"/>
          <w:highlight w:val="none"/>
          <w:lang w:bidi="ar-SA"/>
        </w:rPr>
        <w:t>秉持精准资助与资助育人的发展理念，深入领会中央转移支付资金预算项目的总体目标要求，准确把握政策对象、条件、标准和流程。充分发挥普通高中、中等职业学校不同政策类型在奖励优秀与资助贫困方面的导向作用，对家庭经济困难学生的兜底保障作用，加快职业教育发展的促进作用。</w:t>
      </w:r>
      <w:r>
        <w:rPr>
          <w:rFonts w:hint="eastAsia" w:ascii="仿宋_GB2312" w:hAnsi="黑体" w:eastAsia="仿宋_GB2312"/>
          <w:sz w:val="32"/>
          <w:szCs w:val="32"/>
          <w:highlight w:val="none"/>
          <w:lang w:val="en-US" w:eastAsia="zh-CN"/>
        </w:rPr>
        <w:t>学生资助资金有效保障了家庭经济困难学生的教育权益。通过项目实施，及时地帮助了家庭经济困难学生顺利完成学业，助力学生成长成才。同时，也让那些经济困难的家庭感受到党和政府的关怀。</w:t>
      </w:r>
    </w:p>
    <w:p w14:paraId="62310EE1">
      <w:pPr>
        <w:numPr>
          <w:ilvl w:val="0"/>
          <w:numId w:val="0"/>
        </w:numPr>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kern w:val="2"/>
          <w:sz w:val="32"/>
          <w:szCs w:val="32"/>
          <w:highlight w:val="none"/>
          <w:lang w:val="en-US" w:eastAsia="zh-CN" w:bidi="ar-SA"/>
        </w:rPr>
        <w:t>（二）</w:t>
      </w:r>
      <w:r>
        <w:rPr>
          <w:rFonts w:hint="eastAsia" w:ascii="楷体_GB2312" w:hAnsi="楷体_GB2312" w:eastAsia="楷体_GB2312" w:cs="楷体_GB2312"/>
          <w:sz w:val="32"/>
          <w:szCs w:val="32"/>
          <w:highlight w:val="none"/>
        </w:rPr>
        <w:t>绩效指标完成情况分析。</w:t>
      </w:r>
    </w:p>
    <w:p w14:paraId="1B329D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highlight w:val="none"/>
        </w:rPr>
      </w:pPr>
      <w:r>
        <w:rPr>
          <w:rFonts w:hint="eastAsia" w:ascii="仿宋_GB2312" w:hAnsi="黑体" w:eastAsia="仿宋_GB2312"/>
          <w:sz w:val="32"/>
          <w:szCs w:val="32"/>
          <w:highlight w:val="none"/>
          <w:lang w:val="en-US" w:eastAsia="zh-CN"/>
        </w:rPr>
        <w:t>1.</w:t>
      </w:r>
      <w:r>
        <w:rPr>
          <w:rFonts w:hint="eastAsia" w:ascii="仿宋_GB2312" w:hAnsi="黑体" w:eastAsia="仿宋_GB2312"/>
          <w:sz w:val="32"/>
          <w:szCs w:val="32"/>
          <w:highlight w:val="none"/>
        </w:rPr>
        <w:t>产出指标</w:t>
      </w:r>
      <w:r>
        <w:rPr>
          <w:rFonts w:hint="eastAsia" w:ascii="仿宋_GB2312" w:hAnsi="黑体" w:eastAsia="仿宋_GB2312"/>
          <w:sz w:val="32"/>
          <w:szCs w:val="32"/>
          <w:highlight w:val="none"/>
          <w:lang w:eastAsia="zh-CN"/>
        </w:rPr>
        <w:t>分解下达和</w:t>
      </w:r>
      <w:r>
        <w:rPr>
          <w:rFonts w:hint="eastAsia" w:ascii="仿宋_GB2312" w:hAnsi="黑体" w:eastAsia="仿宋_GB2312"/>
          <w:sz w:val="32"/>
          <w:szCs w:val="32"/>
          <w:highlight w:val="none"/>
        </w:rPr>
        <w:t>完成情况分析</w:t>
      </w:r>
    </w:p>
    <w:p w14:paraId="050228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rPr>
        <w:t>根据项目情况，将产出指标分解为二级数量指标和</w:t>
      </w:r>
      <w:r>
        <w:rPr>
          <w:rFonts w:hint="eastAsia" w:ascii="仿宋_GB2312" w:hAnsi="黑体" w:eastAsia="仿宋_GB2312"/>
          <w:sz w:val="32"/>
          <w:szCs w:val="32"/>
          <w:highlight w:val="none"/>
          <w:lang w:val="en-US" w:eastAsia="zh-CN"/>
        </w:rPr>
        <w:t>时效</w:t>
      </w:r>
      <w:r>
        <w:rPr>
          <w:rFonts w:hint="eastAsia" w:ascii="仿宋_GB2312" w:hAnsi="黑体" w:eastAsia="仿宋_GB2312"/>
          <w:sz w:val="32"/>
          <w:szCs w:val="32"/>
          <w:highlight w:val="none"/>
        </w:rPr>
        <w:t>指标。数量指标分为</w:t>
      </w:r>
      <w:r>
        <w:rPr>
          <w:rFonts w:hint="eastAsia" w:ascii="仿宋_GB2312" w:hAnsi="黑体" w:eastAsia="仿宋_GB2312"/>
          <w:sz w:val="32"/>
          <w:szCs w:val="32"/>
          <w:highlight w:val="none"/>
          <w:lang w:val="en-US" w:eastAsia="zh-CN"/>
        </w:rPr>
        <w:t>中职国家奖学金奖励人数</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高中阶段应受助学生受助比例</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享受国家助学金的家庭经济困难学生数和享受免学费的家庭经济困难学生数</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时效</w:t>
      </w:r>
      <w:r>
        <w:rPr>
          <w:rFonts w:hint="eastAsia" w:ascii="仿宋_GB2312" w:hAnsi="黑体" w:eastAsia="仿宋_GB2312"/>
          <w:sz w:val="32"/>
          <w:szCs w:val="32"/>
          <w:highlight w:val="none"/>
        </w:rPr>
        <w:t>指标分为</w:t>
      </w:r>
      <w:r>
        <w:rPr>
          <w:rFonts w:hint="eastAsia" w:ascii="仿宋_GB2312" w:hAnsi="黑体" w:eastAsia="仿宋_GB2312"/>
          <w:sz w:val="32"/>
          <w:szCs w:val="32"/>
          <w:highlight w:val="none"/>
          <w:lang w:val="en-US" w:eastAsia="zh-CN"/>
        </w:rPr>
        <w:t>奖助学金按规定及时发放率</w:t>
      </w:r>
      <w:r>
        <w:rPr>
          <w:rFonts w:hint="eastAsia" w:ascii="仿宋_GB2312" w:hAnsi="黑体" w:eastAsia="仿宋_GB2312"/>
          <w:sz w:val="32"/>
          <w:szCs w:val="32"/>
          <w:highlight w:val="none"/>
        </w:rPr>
        <w:t>和</w:t>
      </w:r>
      <w:r>
        <w:rPr>
          <w:rFonts w:hint="eastAsia" w:ascii="仿宋_GB2312" w:hAnsi="黑体" w:eastAsia="仿宋_GB2312"/>
          <w:sz w:val="32"/>
          <w:szCs w:val="32"/>
          <w:highlight w:val="none"/>
          <w:lang w:val="en-US" w:eastAsia="zh-CN"/>
        </w:rPr>
        <w:t>国家助学金发放时间</w:t>
      </w:r>
      <w:r>
        <w:rPr>
          <w:rFonts w:hint="eastAsia" w:ascii="仿宋_GB2312" w:hAnsi="黑体" w:eastAsia="仿宋_GB2312"/>
          <w:sz w:val="32"/>
          <w:szCs w:val="32"/>
          <w:highlight w:val="none"/>
        </w:rPr>
        <w:t>。</w:t>
      </w:r>
    </w:p>
    <w:p w14:paraId="7ADEFF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highlight w:val="none"/>
        </w:rPr>
      </w:pPr>
    </w:p>
    <w:tbl>
      <w:tblPr>
        <w:tblStyle w:val="12"/>
        <w:tblW w:w="85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2"/>
        <w:gridCol w:w="992"/>
        <w:gridCol w:w="3383"/>
        <w:gridCol w:w="1577"/>
        <w:gridCol w:w="1584"/>
      </w:tblGrid>
      <w:tr w14:paraId="0F931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nil"/>
              <w:left w:val="nil"/>
              <w:bottom w:val="single" w:color="000000" w:sz="4" w:space="0"/>
              <w:right w:val="single" w:color="000000" w:sz="4" w:space="0"/>
            </w:tcBorders>
            <w:shd w:val="clear" w:color="auto" w:fill="auto"/>
            <w:vAlign w:val="center"/>
          </w:tcPr>
          <w:p w14:paraId="77D57D4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一级指标</w:t>
            </w:r>
          </w:p>
        </w:tc>
        <w:tc>
          <w:tcPr>
            <w:tcW w:w="0" w:type="auto"/>
            <w:tcBorders>
              <w:top w:val="nil"/>
              <w:left w:val="nil"/>
              <w:bottom w:val="single" w:color="000000" w:sz="4" w:space="0"/>
              <w:right w:val="single" w:color="000000" w:sz="4" w:space="0"/>
            </w:tcBorders>
            <w:shd w:val="clear" w:color="auto" w:fill="auto"/>
            <w:vAlign w:val="center"/>
          </w:tcPr>
          <w:p w14:paraId="0DE9E3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二级指标</w:t>
            </w:r>
          </w:p>
        </w:tc>
        <w:tc>
          <w:tcPr>
            <w:tcW w:w="0" w:type="auto"/>
            <w:tcBorders>
              <w:top w:val="nil"/>
              <w:left w:val="nil"/>
              <w:bottom w:val="single" w:color="000000" w:sz="4" w:space="0"/>
              <w:right w:val="single" w:color="000000" w:sz="4" w:space="0"/>
            </w:tcBorders>
            <w:shd w:val="clear" w:color="auto" w:fill="auto"/>
            <w:vAlign w:val="center"/>
          </w:tcPr>
          <w:p w14:paraId="47B9F5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三级指标</w:t>
            </w:r>
          </w:p>
        </w:tc>
        <w:tc>
          <w:tcPr>
            <w:tcW w:w="0" w:type="auto"/>
            <w:tcBorders>
              <w:top w:val="nil"/>
              <w:left w:val="nil"/>
              <w:bottom w:val="single" w:color="000000" w:sz="4" w:space="0"/>
              <w:right w:val="single" w:color="000000" w:sz="4" w:space="0"/>
            </w:tcBorders>
            <w:shd w:val="clear" w:color="auto" w:fill="auto"/>
            <w:vAlign w:val="center"/>
          </w:tcPr>
          <w:p w14:paraId="63C67D0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指标值</w:t>
            </w:r>
          </w:p>
        </w:tc>
        <w:tc>
          <w:tcPr>
            <w:tcW w:w="1584" w:type="dxa"/>
            <w:tcBorders>
              <w:top w:val="nil"/>
              <w:left w:val="nil"/>
              <w:bottom w:val="single" w:color="000000" w:sz="4" w:space="0"/>
              <w:right w:val="single" w:color="000000" w:sz="4" w:space="0"/>
            </w:tcBorders>
            <w:shd w:val="clear" w:color="auto" w:fill="auto"/>
            <w:vAlign w:val="center"/>
          </w:tcPr>
          <w:p w14:paraId="39A5721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全年实际完成值</w:t>
            </w:r>
          </w:p>
        </w:tc>
      </w:tr>
      <w:tr w14:paraId="3497F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vMerge w:val="restart"/>
            <w:tcBorders>
              <w:left w:val="nil"/>
              <w:right w:val="single" w:color="000000" w:sz="4" w:space="0"/>
            </w:tcBorders>
            <w:shd w:val="clear" w:color="auto" w:fill="auto"/>
            <w:vAlign w:val="center"/>
          </w:tcPr>
          <w:p w14:paraId="757760C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2"/>
                <w:sz w:val="22"/>
                <w:szCs w:val="22"/>
                <w:highlight w:val="none"/>
                <w:u w:val="none"/>
                <w:lang w:val="en-US" w:eastAsia="zh-CN" w:bidi="ar-SA"/>
              </w:rPr>
              <w:t>产出指标</w:t>
            </w:r>
          </w:p>
        </w:tc>
        <w:tc>
          <w:tcPr>
            <w:tcW w:w="0" w:type="auto"/>
            <w:vMerge w:val="restart"/>
            <w:tcBorders>
              <w:left w:val="nil"/>
              <w:right w:val="single" w:color="000000" w:sz="4" w:space="0"/>
            </w:tcBorders>
            <w:shd w:val="clear" w:color="auto" w:fill="auto"/>
            <w:vAlign w:val="center"/>
          </w:tcPr>
          <w:p w14:paraId="0FF65036">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数量指标</w:t>
            </w:r>
          </w:p>
        </w:tc>
        <w:tc>
          <w:tcPr>
            <w:tcW w:w="0" w:type="auto"/>
            <w:tcBorders>
              <w:top w:val="nil"/>
              <w:left w:val="nil"/>
              <w:bottom w:val="single" w:color="000000" w:sz="4" w:space="0"/>
              <w:right w:val="single" w:color="000000" w:sz="4" w:space="0"/>
            </w:tcBorders>
            <w:shd w:val="clear" w:color="auto" w:fill="auto"/>
            <w:vAlign w:val="center"/>
          </w:tcPr>
          <w:p w14:paraId="4D04E5D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高中阶段应受助学生受助比例</w:t>
            </w:r>
          </w:p>
        </w:tc>
        <w:tc>
          <w:tcPr>
            <w:tcW w:w="0" w:type="auto"/>
            <w:tcBorders>
              <w:top w:val="nil"/>
              <w:left w:val="nil"/>
              <w:bottom w:val="single" w:color="000000" w:sz="4" w:space="0"/>
              <w:right w:val="single" w:color="000000" w:sz="4" w:space="0"/>
            </w:tcBorders>
            <w:shd w:val="clear" w:color="auto" w:fill="auto"/>
            <w:vAlign w:val="center"/>
          </w:tcPr>
          <w:p w14:paraId="214F89B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100%</w:t>
            </w:r>
          </w:p>
        </w:tc>
        <w:tc>
          <w:tcPr>
            <w:tcW w:w="1584" w:type="dxa"/>
            <w:tcBorders>
              <w:top w:val="nil"/>
              <w:left w:val="nil"/>
              <w:bottom w:val="single" w:color="000000" w:sz="4" w:space="0"/>
              <w:right w:val="single" w:color="000000" w:sz="4" w:space="0"/>
            </w:tcBorders>
            <w:shd w:val="clear" w:color="auto" w:fill="auto"/>
            <w:vAlign w:val="center"/>
          </w:tcPr>
          <w:p w14:paraId="738949D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100%</w:t>
            </w:r>
          </w:p>
        </w:tc>
      </w:tr>
      <w:tr w14:paraId="4CD92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vMerge w:val="continue"/>
            <w:tcBorders>
              <w:left w:val="nil"/>
              <w:right w:val="single" w:color="000000" w:sz="4" w:space="0"/>
            </w:tcBorders>
            <w:shd w:val="clear" w:color="auto" w:fill="auto"/>
            <w:vAlign w:val="center"/>
          </w:tcPr>
          <w:p w14:paraId="11FF6533">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sz w:val="22"/>
                <w:szCs w:val="22"/>
                <w:highlight w:val="none"/>
                <w:u w:val="none"/>
                <w:lang w:val="en-US" w:eastAsia="zh-CN"/>
              </w:rPr>
            </w:pPr>
          </w:p>
        </w:tc>
        <w:tc>
          <w:tcPr>
            <w:tcW w:w="0" w:type="auto"/>
            <w:vMerge w:val="continue"/>
            <w:tcBorders>
              <w:left w:val="nil"/>
              <w:right w:val="single" w:color="000000" w:sz="4" w:space="0"/>
            </w:tcBorders>
            <w:shd w:val="clear" w:color="auto" w:fill="auto"/>
            <w:vAlign w:val="center"/>
          </w:tcPr>
          <w:p w14:paraId="3FE4D69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p>
        </w:tc>
        <w:tc>
          <w:tcPr>
            <w:tcW w:w="0" w:type="auto"/>
            <w:tcBorders>
              <w:top w:val="nil"/>
              <w:left w:val="nil"/>
              <w:bottom w:val="single" w:color="000000" w:sz="4" w:space="0"/>
              <w:right w:val="single" w:color="000000" w:sz="4" w:space="0"/>
            </w:tcBorders>
            <w:shd w:val="clear" w:color="auto" w:fill="auto"/>
            <w:vAlign w:val="center"/>
          </w:tcPr>
          <w:p w14:paraId="2ED8285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享受国家助学金的家庭经济困难学生数</w:t>
            </w:r>
          </w:p>
        </w:tc>
        <w:tc>
          <w:tcPr>
            <w:tcW w:w="0" w:type="auto"/>
            <w:tcBorders>
              <w:top w:val="nil"/>
              <w:left w:val="nil"/>
              <w:bottom w:val="single" w:color="000000" w:sz="4" w:space="0"/>
              <w:right w:val="single" w:color="000000" w:sz="4" w:space="0"/>
            </w:tcBorders>
            <w:shd w:val="clear" w:color="auto" w:fill="auto"/>
            <w:vAlign w:val="center"/>
          </w:tcPr>
          <w:p w14:paraId="77EF48F4">
            <w:pPr>
              <w:snapToGrid w:val="0"/>
              <w:ind w:left="0" w:leftChars="0" w:right="0" w:rightChars="0" w:firstLine="0" w:firstLineChars="0"/>
              <w:jc w:val="left"/>
              <w:rPr>
                <w:rFonts w:hint="eastAsia" w:ascii="宋体" w:hAnsi="宋体" w:eastAsia="宋体" w:cs="宋体"/>
                <w:i w:val="0"/>
                <w:iCs w:val="0"/>
                <w:color w:val="000000"/>
                <w:sz w:val="22"/>
                <w:szCs w:val="22"/>
                <w:highlight w:val="none"/>
                <w:u w:val="none"/>
              </w:rPr>
            </w:pPr>
          </w:p>
        </w:tc>
        <w:tc>
          <w:tcPr>
            <w:tcW w:w="1584" w:type="dxa"/>
            <w:tcBorders>
              <w:top w:val="nil"/>
              <w:left w:val="nil"/>
              <w:bottom w:val="single" w:color="000000" w:sz="4" w:space="0"/>
              <w:right w:val="single" w:color="000000" w:sz="4" w:space="0"/>
            </w:tcBorders>
            <w:shd w:val="clear" w:color="auto" w:fill="auto"/>
            <w:vAlign w:val="center"/>
          </w:tcPr>
          <w:p w14:paraId="728C4EE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129人</w:t>
            </w:r>
          </w:p>
        </w:tc>
      </w:tr>
      <w:tr w14:paraId="0064E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vMerge w:val="continue"/>
            <w:tcBorders>
              <w:left w:val="nil"/>
              <w:right w:val="single" w:color="000000" w:sz="4" w:space="0"/>
            </w:tcBorders>
            <w:shd w:val="clear" w:color="auto" w:fill="auto"/>
            <w:vAlign w:val="center"/>
          </w:tcPr>
          <w:p w14:paraId="5C185FE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p>
        </w:tc>
        <w:tc>
          <w:tcPr>
            <w:tcW w:w="0" w:type="auto"/>
            <w:vMerge w:val="continue"/>
            <w:tcBorders>
              <w:left w:val="nil"/>
              <w:right w:val="single" w:color="000000" w:sz="4" w:space="0"/>
            </w:tcBorders>
            <w:shd w:val="clear" w:color="auto" w:fill="auto"/>
            <w:vAlign w:val="center"/>
          </w:tcPr>
          <w:p w14:paraId="6B69F4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p>
        </w:tc>
        <w:tc>
          <w:tcPr>
            <w:tcW w:w="0" w:type="auto"/>
            <w:tcBorders>
              <w:top w:val="nil"/>
              <w:left w:val="nil"/>
              <w:bottom w:val="single" w:color="000000" w:sz="4" w:space="0"/>
              <w:right w:val="single" w:color="000000" w:sz="4" w:space="0"/>
            </w:tcBorders>
            <w:shd w:val="clear" w:color="auto" w:fill="auto"/>
            <w:vAlign w:val="center"/>
          </w:tcPr>
          <w:p w14:paraId="55972F2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享受免学费的家庭经济困难学生数</w:t>
            </w:r>
          </w:p>
        </w:tc>
        <w:tc>
          <w:tcPr>
            <w:tcW w:w="0" w:type="auto"/>
            <w:tcBorders>
              <w:top w:val="nil"/>
              <w:left w:val="nil"/>
              <w:bottom w:val="single" w:color="000000" w:sz="4" w:space="0"/>
              <w:right w:val="single" w:color="000000" w:sz="4" w:space="0"/>
            </w:tcBorders>
            <w:shd w:val="clear" w:color="auto" w:fill="auto"/>
            <w:vAlign w:val="center"/>
          </w:tcPr>
          <w:p w14:paraId="6212AA4B">
            <w:pPr>
              <w:snapToGrid w:val="0"/>
              <w:ind w:left="0" w:leftChars="0" w:right="0" w:rightChars="0" w:firstLine="0" w:firstLineChars="0"/>
              <w:jc w:val="left"/>
              <w:rPr>
                <w:rFonts w:hint="eastAsia" w:ascii="宋体" w:hAnsi="宋体" w:eastAsia="宋体" w:cs="宋体"/>
                <w:i w:val="0"/>
                <w:iCs w:val="0"/>
                <w:color w:val="000000"/>
                <w:sz w:val="22"/>
                <w:szCs w:val="22"/>
                <w:highlight w:val="none"/>
                <w:u w:val="none"/>
              </w:rPr>
            </w:pPr>
          </w:p>
        </w:tc>
        <w:tc>
          <w:tcPr>
            <w:tcW w:w="1584" w:type="dxa"/>
            <w:tcBorders>
              <w:top w:val="nil"/>
              <w:left w:val="nil"/>
              <w:bottom w:val="single" w:color="000000" w:sz="4" w:space="0"/>
              <w:right w:val="single" w:color="000000" w:sz="4" w:space="0"/>
            </w:tcBorders>
            <w:shd w:val="clear" w:color="auto" w:fill="auto"/>
            <w:vAlign w:val="center"/>
          </w:tcPr>
          <w:p w14:paraId="279D1FE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132人</w:t>
            </w:r>
          </w:p>
        </w:tc>
      </w:tr>
      <w:tr w14:paraId="4D64E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vMerge w:val="continue"/>
            <w:tcBorders>
              <w:left w:val="nil"/>
              <w:right w:val="single" w:color="000000" w:sz="4" w:space="0"/>
            </w:tcBorders>
            <w:shd w:val="clear" w:color="auto" w:fill="auto"/>
            <w:vAlign w:val="center"/>
          </w:tcPr>
          <w:p w14:paraId="5B42AE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p>
        </w:tc>
        <w:tc>
          <w:tcPr>
            <w:tcW w:w="0" w:type="auto"/>
            <w:vMerge w:val="continue"/>
            <w:tcBorders>
              <w:left w:val="nil"/>
              <w:right w:val="single" w:color="000000" w:sz="4" w:space="0"/>
            </w:tcBorders>
            <w:shd w:val="clear" w:color="auto" w:fill="auto"/>
            <w:vAlign w:val="center"/>
          </w:tcPr>
          <w:p w14:paraId="4783160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p>
        </w:tc>
        <w:tc>
          <w:tcPr>
            <w:tcW w:w="0" w:type="auto"/>
            <w:tcBorders>
              <w:top w:val="nil"/>
              <w:left w:val="nil"/>
              <w:bottom w:val="single" w:color="000000" w:sz="4" w:space="0"/>
              <w:right w:val="single" w:color="000000" w:sz="4" w:space="0"/>
            </w:tcBorders>
            <w:shd w:val="clear" w:color="auto" w:fill="auto"/>
            <w:vAlign w:val="center"/>
          </w:tcPr>
          <w:p w14:paraId="4BBF65F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奖助学金按规定及时发放率</w:t>
            </w:r>
          </w:p>
        </w:tc>
        <w:tc>
          <w:tcPr>
            <w:tcW w:w="0" w:type="auto"/>
            <w:tcBorders>
              <w:top w:val="nil"/>
              <w:left w:val="nil"/>
              <w:bottom w:val="single" w:color="000000" w:sz="4" w:space="0"/>
              <w:right w:val="single" w:color="000000" w:sz="4" w:space="0"/>
            </w:tcBorders>
            <w:shd w:val="clear" w:color="auto" w:fill="auto"/>
            <w:vAlign w:val="center"/>
          </w:tcPr>
          <w:p w14:paraId="03E724C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100%</w:t>
            </w:r>
          </w:p>
        </w:tc>
        <w:tc>
          <w:tcPr>
            <w:tcW w:w="1584" w:type="dxa"/>
            <w:tcBorders>
              <w:top w:val="nil"/>
              <w:left w:val="nil"/>
              <w:bottom w:val="single" w:color="000000" w:sz="4" w:space="0"/>
              <w:right w:val="single" w:color="000000" w:sz="4" w:space="0"/>
            </w:tcBorders>
            <w:shd w:val="clear" w:color="auto" w:fill="auto"/>
            <w:vAlign w:val="center"/>
          </w:tcPr>
          <w:p w14:paraId="3F8A565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100%</w:t>
            </w:r>
          </w:p>
        </w:tc>
      </w:tr>
      <w:tr w14:paraId="0D99B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vMerge w:val="continue"/>
            <w:tcBorders>
              <w:left w:val="nil"/>
              <w:right w:val="single" w:color="000000" w:sz="4" w:space="0"/>
            </w:tcBorders>
            <w:shd w:val="clear" w:color="auto" w:fill="auto"/>
            <w:vAlign w:val="center"/>
          </w:tcPr>
          <w:p w14:paraId="08BD217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p>
        </w:tc>
        <w:tc>
          <w:tcPr>
            <w:tcW w:w="0" w:type="auto"/>
            <w:tcBorders>
              <w:left w:val="nil"/>
              <w:right w:val="single" w:color="000000" w:sz="4" w:space="0"/>
            </w:tcBorders>
            <w:shd w:val="clear" w:color="auto" w:fill="auto"/>
            <w:vAlign w:val="center"/>
          </w:tcPr>
          <w:p w14:paraId="4819076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时效指标</w:t>
            </w:r>
          </w:p>
        </w:tc>
        <w:tc>
          <w:tcPr>
            <w:tcW w:w="0" w:type="auto"/>
            <w:tcBorders>
              <w:top w:val="nil"/>
              <w:left w:val="nil"/>
              <w:bottom w:val="single" w:color="000000" w:sz="4" w:space="0"/>
              <w:right w:val="single" w:color="000000" w:sz="4" w:space="0"/>
            </w:tcBorders>
            <w:shd w:val="clear" w:color="auto" w:fill="auto"/>
            <w:vAlign w:val="center"/>
          </w:tcPr>
          <w:p w14:paraId="6AC8484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国家助学金发放时间</w:t>
            </w:r>
          </w:p>
        </w:tc>
        <w:tc>
          <w:tcPr>
            <w:tcW w:w="0" w:type="auto"/>
            <w:tcBorders>
              <w:top w:val="nil"/>
              <w:left w:val="nil"/>
              <w:bottom w:val="single" w:color="000000" w:sz="4" w:space="0"/>
              <w:right w:val="single" w:color="000000" w:sz="4" w:space="0"/>
            </w:tcBorders>
            <w:shd w:val="clear" w:color="auto" w:fill="auto"/>
            <w:vAlign w:val="center"/>
          </w:tcPr>
          <w:p w14:paraId="30503FA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原则上按月发放</w:t>
            </w:r>
          </w:p>
        </w:tc>
        <w:tc>
          <w:tcPr>
            <w:tcW w:w="1584" w:type="dxa"/>
            <w:tcBorders>
              <w:top w:val="nil"/>
              <w:left w:val="nil"/>
              <w:bottom w:val="single" w:color="000000" w:sz="4" w:space="0"/>
              <w:right w:val="single" w:color="000000" w:sz="4" w:space="0"/>
            </w:tcBorders>
            <w:shd w:val="clear" w:color="auto" w:fill="auto"/>
            <w:vAlign w:val="center"/>
          </w:tcPr>
          <w:p w14:paraId="4FC076C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按月</w:t>
            </w:r>
          </w:p>
        </w:tc>
      </w:tr>
    </w:tbl>
    <w:p w14:paraId="7A07EE0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highlight w:val="none"/>
        </w:rPr>
      </w:pPr>
      <w:r>
        <w:rPr>
          <w:rFonts w:hint="eastAsia" w:ascii="仿宋_GB2312" w:hAnsi="黑体" w:eastAsia="仿宋_GB2312" w:cs="Times New Roman"/>
          <w:kern w:val="2"/>
          <w:sz w:val="32"/>
          <w:szCs w:val="32"/>
          <w:highlight w:val="none"/>
          <w:lang w:val="en-US" w:eastAsia="zh-CN" w:bidi="ar-SA"/>
        </w:rPr>
        <w:t>2.</w:t>
      </w:r>
      <w:r>
        <w:rPr>
          <w:rFonts w:hint="eastAsia" w:ascii="仿宋_GB2312" w:hAnsi="黑体" w:eastAsia="仿宋_GB2312"/>
          <w:sz w:val="32"/>
          <w:szCs w:val="32"/>
          <w:highlight w:val="none"/>
        </w:rPr>
        <w:t>效益指标</w:t>
      </w:r>
      <w:r>
        <w:rPr>
          <w:rFonts w:hint="eastAsia" w:ascii="仿宋_GB2312" w:hAnsi="黑体" w:eastAsia="仿宋_GB2312"/>
          <w:sz w:val="32"/>
          <w:szCs w:val="32"/>
          <w:highlight w:val="none"/>
          <w:lang w:eastAsia="zh-CN"/>
        </w:rPr>
        <w:t>分解下达和</w:t>
      </w:r>
      <w:r>
        <w:rPr>
          <w:rFonts w:hint="eastAsia" w:ascii="仿宋_GB2312" w:hAnsi="黑体" w:eastAsia="仿宋_GB2312"/>
          <w:sz w:val="32"/>
          <w:szCs w:val="32"/>
          <w:highlight w:val="none"/>
        </w:rPr>
        <w:t>完成情况分析</w:t>
      </w:r>
    </w:p>
    <w:p w14:paraId="2CF073A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highlight w:val="none"/>
        </w:rPr>
      </w:pPr>
      <w:r>
        <w:rPr>
          <w:rFonts w:hint="eastAsia" w:ascii="仿宋_GB2312" w:hAnsi="黑体" w:eastAsia="仿宋_GB2312"/>
          <w:sz w:val="32"/>
          <w:szCs w:val="32"/>
          <w:highlight w:val="none"/>
        </w:rPr>
        <w:t>根据项目情况，将效益指标分解为二级社会效益指标。社会效益指标为</w:t>
      </w:r>
      <w:r>
        <w:rPr>
          <w:rFonts w:hint="eastAsia" w:ascii="仿宋_GB2312" w:hAnsi="黑体" w:eastAsia="仿宋_GB2312"/>
          <w:sz w:val="32"/>
          <w:szCs w:val="32"/>
          <w:highlight w:val="none"/>
          <w:lang w:val="en-US" w:eastAsia="zh-CN"/>
        </w:rPr>
        <w:t>在普通高中及中职国家助学金名额分配时，结合实际向脱贫地区倾斜和家庭经济困难学生受助情况</w:t>
      </w:r>
      <w:r>
        <w:rPr>
          <w:rFonts w:hint="eastAsia" w:ascii="仿宋_GB2312" w:hAnsi="黑体" w:eastAsia="仿宋_GB2312"/>
          <w:sz w:val="32"/>
          <w:szCs w:val="32"/>
          <w:highlight w:val="none"/>
        </w:rPr>
        <w:t>为保障教育公平发展，优化教育发展环境，持续健全与完善基础教育经费保障机制。</w:t>
      </w:r>
    </w:p>
    <w:p w14:paraId="193B884A">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黑体" w:eastAsia="仿宋_GB2312"/>
          <w:sz w:val="32"/>
          <w:szCs w:val="32"/>
          <w:highlight w:val="none"/>
        </w:rPr>
      </w:pPr>
    </w:p>
    <w:tbl>
      <w:tblPr>
        <w:tblStyle w:val="12"/>
        <w:tblW w:w="85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25"/>
        <w:gridCol w:w="1662"/>
        <w:gridCol w:w="3159"/>
        <w:gridCol w:w="1222"/>
        <w:gridCol w:w="1255"/>
      </w:tblGrid>
      <w:tr w14:paraId="78C45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225" w:type="dxa"/>
            <w:tcBorders>
              <w:top w:val="nil"/>
              <w:left w:val="nil"/>
              <w:bottom w:val="single" w:color="auto" w:sz="4" w:space="0"/>
              <w:right w:val="single" w:color="000000" w:sz="4" w:space="0"/>
            </w:tcBorders>
            <w:shd w:val="clear" w:color="auto" w:fill="auto"/>
            <w:vAlign w:val="center"/>
          </w:tcPr>
          <w:p w14:paraId="38FC94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一级指标</w:t>
            </w:r>
          </w:p>
        </w:tc>
        <w:tc>
          <w:tcPr>
            <w:tcW w:w="1662" w:type="dxa"/>
            <w:tcBorders>
              <w:top w:val="nil"/>
              <w:left w:val="nil"/>
              <w:bottom w:val="single" w:color="auto" w:sz="4" w:space="0"/>
              <w:right w:val="single" w:color="000000" w:sz="4" w:space="0"/>
            </w:tcBorders>
            <w:shd w:val="clear" w:color="auto" w:fill="auto"/>
            <w:vAlign w:val="center"/>
          </w:tcPr>
          <w:p w14:paraId="213E442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二级指标</w:t>
            </w:r>
          </w:p>
        </w:tc>
        <w:tc>
          <w:tcPr>
            <w:tcW w:w="3159" w:type="dxa"/>
            <w:tcBorders>
              <w:top w:val="nil"/>
              <w:left w:val="nil"/>
              <w:bottom w:val="single" w:color="000000" w:sz="4" w:space="0"/>
              <w:right w:val="single" w:color="000000" w:sz="4" w:space="0"/>
            </w:tcBorders>
            <w:shd w:val="clear" w:color="auto" w:fill="auto"/>
            <w:vAlign w:val="center"/>
          </w:tcPr>
          <w:p w14:paraId="05FC7B2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三级指标</w:t>
            </w:r>
          </w:p>
        </w:tc>
        <w:tc>
          <w:tcPr>
            <w:tcW w:w="1222" w:type="dxa"/>
            <w:tcBorders>
              <w:top w:val="nil"/>
              <w:left w:val="nil"/>
              <w:bottom w:val="single" w:color="000000" w:sz="4" w:space="0"/>
              <w:right w:val="single" w:color="000000" w:sz="4" w:space="0"/>
            </w:tcBorders>
            <w:shd w:val="clear" w:color="auto" w:fill="auto"/>
            <w:vAlign w:val="center"/>
          </w:tcPr>
          <w:p w14:paraId="2CED53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指标值</w:t>
            </w:r>
          </w:p>
        </w:tc>
        <w:tc>
          <w:tcPr>
            <w:tcW w:w="1255" w:type="dxa"/>
            <w:tcBorders>
              <w:top w:val="nil"/>
              <w:left w:val="nil"/>
              <w:bottom w:val="single" w:color="000000" w:sz="4" w:space="0"/>
              <w:right w:val="single" w:color="000000" w:sz="4" w:space="0"/>
            </w:tcBorders>
            <w:shd w:val="clear" w:color="auto" w:fill="auto"/>
            <w:vAlign w:val="center"/>
          </w:tcPr>
          <w:p w14:paraId="45AB26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全年实际完成值</w:t>
            </w:r>
          </w:p>
        </w:tc>
      </w:tr>
      <w:tr w14:paraId="21461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25" w:type="dxa"/>
            <w:tcBorders>
              <w:top w:val="single" w:color="auto" w:sz="4" w:space="0"/>
              <w:left w:val="single" w:color="auto" w:sz="4" w:space="0"/>
              <w:bottom w:val="single" w:color="auto" w:sz="4" w:space="0"/>
              <w:right w:val="single" w:color="000000" w:sz="4" w:space="0"/>
            </w:tcBorders>
            <w:shd w:val="clear" w:color="auto" w:fill="auto"/>
            <w:vAlign w:val="center"/>
          </w:tcPr>
          <w:p w14:paraId="7355E9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效益指标</w:t>
            </w:r>
          </w:p>
        </w:tc>
        <w:tc>
          <w:tcPr>
            <w:tcW w:w="1662" w:type="dxa"/>
            <w:tcBorders>
              <w:top w:val="single" w:color="auto" w:sz="4" w:space="0"/>
              <w:left w:val="nil"/>
              <w:bottom w:val="single" w:color="auto" w:sz="4" w:space="0"/>
              <w:right w:val="single" w:color="auto" w:sz="4" w:space="0"/>
            </w:tcBorders>
            <w:shd w:val="clear" w:color="auto" w:fill="auto"/>
            <w:vAlign w:val="center"/>
          </w:tcPr>
          <w:p w14:paraId="56C2D48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社会效益指标</w:t>
            </w:r>
          </w:p>
        </w:tc>
        <w:tc>
          <w:tcPr>
            <w:tcW w:w="3159" w:type="dxa"/>
            <w:tcBorders>
              <w:top w:val="nil"/>
              <w:left w:val="single" w:color="auto" w:sz="4" w:space="0"/>
              <w:bottom w:val="single" w:color="000000" w:sz="4" w:space="0"/>
              <w:right w:val="single" w:color="000000" w:sz="4" w:space="0"/>
            </w:tcBorders>
            <w:shd w:val="clear" w:color="auto" w:fill="auto"/>
            <w:vAlign w:val="center"/>
          </w:tcPr>
          <w:p w14:paraId="3F58D22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家庭经济困难学生受助情况</w:t>
            </w:r>
          </w:p>
        </w:tc>
        <w:tc>
          <w:tcPr>
            <w:tcW w:w="1222" w:type="dxa"/>
            <w:tcBorders>
              <w:top w:val="nil"/>
              <w:left w:val="nil"/>
              <w:bottom w:val="single" w:color="000000" w:sz="4" w:space="0"/>
              <w:right w:val="single" w:color="000000" w:sz="4" w:space="0"/>
            </w:tcBorders>
            <w:shd w:val="clear" w:color="auto" w:fill="auto"/>
            <w:vAlign w:val="center"/>
          </w:tcPr>
          <w:p w14:paraId="2F5F7BE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应助尽助</w:t>
            </w:r>
          </w:p>
        </w:tc>
        <w:tc>
          <w:tcPr>
            <w:tcW w:w="1255" w:type="dxa"/>
            <w:tcBorders>
              <w:top w:val="nil"/>
              <w:left w:val="nil"/>
              <w:bottom w:val="single" w:color="000000" w:sz="4" w:space="0"/>
              <w:right w:val="single" w:color="000000" w:sz="4" w:space="0"/>
            </w:tcBorders>
            <w:shd w:val="clear" w:color="auto" w:fill="auto"/>
            <w:vAlign w:val="center"/>
          </w:tcPr>
          <w:p w14:paraId="3C0BD6C6">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应助尽助</w:t>
            </w:r>
          </w:p>
        </w:tc>
      </w:tr>
    </w:tbl>
    <w:p w14:paraId="28CEE0B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黑体" w:eastAsia="仿宋_GB2312"/>
          <w:sz w:val="32"/>
          <w:szCs w:val="32"/>
          <w:highlight w:val="none"/>
        </w:rPr>
      </w:pPr>
      <w:r>
        <w:rPr>
          <w:rFonts w:hint="eastAsia" w:ascii="仿宋_GB2312" w:hAnsi="黑体" w:eastAsia="仿宋_GB2312" w:cs="Times New Roman"/>
          <w:kern w:val="2"/>
          <w:sz w:val="32"/>
          <w:szCs w:val="32"/>
          <w:highlight w:val="none"/>
          <w:lang w:val="en-US" w:eastAsia="zh-CN" w:bidi="ar-SA"/>
        </w:rPr>
        <w:t>3.</w:t>
      </w:r>
      <w:r>
        <w:rPr>
          <w:rFonts w:hint="eastAsia" w:ascii="仿宋_GB2312" w:hAnsi="黑体" w:eastAsia="仿宋_GB2312"/>
          <w:sz w:val="32"/>
          <w:szCs w:val="32"/>
          <w:highlight w:val="none"/>
        </w:rPr>
        <w:t>满意度指标</w:t>
      </w:r>
      <w:r>
        <w:rPr>
          <w:rFonts w:hint="eastAsia" w:ascii="仿宋_GB2312" w:hAnsi="黑体" w:eastAsia="仿宋_GB2312"/>
          <w:sz w:val="32"/>
          <w:szCs w:val="32"/>
          <w:highlight w:val="none"/>
          <w:lang w:eastAsia="zh-CN"/>
        </w:rPr>
        <w:t>分解下达和</w:t>
      </w:r>
      <w:r>
        <w:rPr>
          <w:rFonts w:hint="eastAsia" w:ascii="仿宋_GB2312" w:hAnsi="黑体" w:eastAsia="仿宋_GB2312"/>
          <w:sz w:val="32"/>
          <w:szCs w:val="32"/>
          <w:highlight w:val="none"/>
        </w:rPr>
        <w:t>完成情况分析</w:t>
      </w:r>
    </w:p>
    <w:p w14:paraId="26791B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highlight w:val="none"/>
        </w:rPr>
      </w:pPr>
      <w:r>
        <w:rPr>
          <w:rFonts w:hint="eastAsia" w:ascii="仿宋_GB2312" w:hAnsi="黑体" w:eastAsia="仿宋_GB2312"/>
          <w:sz w:val="32"/>
          <w:szCs w:val="32"/>
          <w:highlight w:val="none"/>
        </w:rPr>
        <w:t>根据项目情况，将满意度指标分解为二级服务对象满意度指标，通过分析资金覆盖范围，明确资金使用效益的三级具体指标，主要考虑受益学</w:t>
      </w:r>
      <w:r>
        <w:rPr>
          <w:rFonts w:hint="eastAsia" w:ascii="仿宋_GB2312" w:hAnsi="黑体" w:eastAsia="仿宋_GB2312"/>
          <w:sz w:val="32"/>
          <w:szCs w:val="32"/>
          <w:highlight w:val="none"/>
          <w:lang w:val="en-US" w:eastAsia="zh-CN"/>
        </w:rPr>
        <w:t>生</w:t>
      </w:r>
      <w:r>
        <w:rPr>
          <w:rFonts w:hint="eastAsia" w:ascii="仿宋_GB2312" w:hAnsi="黑体" w:eastAsia="仿宋_GB2312"/>
          <w:sz w:val="32"/>
          <w:szCs w:val="32"/>
          <w:highlight w:val="none"/>
        </w:rPr>
        <w:t>满意度和受益</w:t>
      </w:r>
      <w:r>
        <w:rPr>
          <w:rFonts w:hint="eastAsia" w:ascii="仿宋_GB2312" w:hAnsi="黑体" w:eastAsia="仿宋_GB2312"/>
          <w:sz w:val="32"/>
          <w:szCs w:val="32"/>
          <w:highlight w:val="none"/>
          <w:lang w:val="en-US" w:eastAsia="zh-CN"/>
        </w:rPr>
        <w:t>家长</w:t>
      </w:r>
      <w:r>
        <w:rPr>
          <w:rFonts w:hint="eastAsia" w:ascii="仿宋_GB2312" w:hAnsi="黑体" w:eastAsia="仿宋_GB2312"/>
          <w:sz w:val="32"/>
          <w:szCs w:val="32"/>
          <w:highlight w:val="none"/>
        </w:rPr>
        <w:t>满意度。</w:t>
      </w:r>
    </w:p>
    <w:p w14:paraId="507F2B03">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黑体" w:eastAsia="仿宋_GB2312"/>
          <w:sz w:val="32"/>
          <w:szCs w:val="32"/>
          <w:highlight w:val="none"/>
        </w:rPr>
      </w:pPr>
    </w:p>
    <w:tbl>
      <w:tblPr>
        <w:tblStyle w:val="12"/>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33"/>
        <w:gridCol w:w="2471"/>
        <w:gridCol w:w="1533"/>
        <w:gridCol w:w="1004"/>
        <w:gridCol w:w="1981"/>
      </w:tblGrid>
      <w:tr w14:paraId="5892E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533" w:type="dxa"/>
            <w:tcBorders>
              <w:top w:val="nil"/>
              <w:left w:val="nil"/>
              <w:bottom w:val="single" w:color="000000" w:sz="4" w:space="0"/>
              <w:right w:val="single" w:color="000000" w:sz="4" w:space="0"/>
            </w:tcBorders>
            <w:shd w:val="clear" w:color="auto" w:fill="auto"/>
            <w:vAlign w:val="center"/>
          </w:tcPr>
          <w:p w14:paraId="7B1994E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一级指标</w:t>
            </w:r>
          </w:p>
        </w:tc>
        <w:tc>
          <w:tcPr>
            <w:tcW w:w="2471" w:type="dxa"/>
            <w:tcBorders>
              <w:top w:val="nil"/>
              <w:left w:val="nil"/>
              <w:bottom w:val="single" w:color="000000" w:sz="4" w:space="0"/>
              <w:right w:val="single" w:color="000000" w:sz="4" w:space="0"/>
            </w:tcBorders>
            <w:shd w:val="clear" w:color="auto" w:fill="auto"/>
            <w:vAlign w:val="center"/>
          </w:tcPr>
          <w:p w14:paraId="4F6D61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二级指标</w:t>
            </w:r>
          </w:p>
        </w:tc>
        <w:tc>
          <w:tcPr>
            <w:tcW w:w="1533" w:type="dxa"/>
            <w:tcBorders>
              <w:top w:val="nil"/>
              <w:left w:val="nil"/>
              <w:bottom w:val="single" w:color="000000" w:sz="4" w:space="0"/>
              <w:right w:val="single" w:color="000000" w:sz="4" w:space="0"/>
            </w:tcBorders>
            <w:shd w:val="clear" w:color="auto" w:fill="auto"/>
            <w:vAlign w:val="center"/>
          </w:tcPr>
          <w:p w14:paraId="3ACB69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三级指标</w:t>
            </w:r>
          </w:p>
        </w:tc>
        <w:tc>
          <w:tcPr>
            <w:tcW w:w="1004" w:type="dxa"/>
            <w:tcBorders>
              <w:top w:val="nil"/>
              <w:left w:val="nil"/>
              <w:bottom w:val="single" w:color="000000" w:sz="4" w:space="0"/>
              <w:right w:val="single" w:color="000000" w:sz="4" w:space="0"/>
            </w:tcBorders>
            <w:shd w:val="clear" w:color="auto" w:fill="auto"/>
            <w:vAlign w:val="center"/>
          </w:tcPr>
          <w:p w14:paraId="088D41C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指标值</w:t>
            </w:r>
          </w:p>
        </w:tc>
        <w:tc>
          <w:tcPr>
            <w:tcW w:w="1981" w:type="dxa"/>
            <w:tcBorders>
              <w:top w:val="nil"/>
              <w:left w:val="nil"/>
              <w:bottom w:val="single" w:color="000000" w:sz="4" w:space="0"/>
              <w:right w:val="single" w:color="000000" w:sz="4" w:space="0"/>
            </w:tcBorders>
            <w:shd w:val="clear" w:color="auto" w:fill="auto"/>
            <w:vAlign w:val="center"/>
          </w:tcPr>
          <w:p w14:paraId="2074191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全年实际完成值</w:t>
            </w:r>
          </w:p>
        </w:tc>
      </w:tr>
      <w:tr w14:paraId="26865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533" w:type="dxa"/>
            <w:vMerge w:val="restart"/>
            <w:tcBorders>
              <w:top w:val="nil"/>
              <w:left w:val="nil"/>
              <w:right w:val="single" w:color="000000" w:sz="4" w:space="0"/>
            </w:tcBorders>
            <w:shd w:val="clear" w:color="auto" w:fill="auto"/>
            <w:vAlign w:val="center"/>
          </w:tcPr>
          <w:p w14:paraId="43DA55A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满意度指标</w:t>
            </w:r>
          </w:p>
        </w:tc>
        <w:tc>
          <w:tcPr>
            <w:tcW w:w="2471" w:type="dxa"/>
            <w:vMerge w:val="restart"/>
            <w:tcBorders>
              <w:top w:val="nil"/>
              <w:left w:val="nil"/>
              <w:right w:val="single" w:color="000000" w:sz="4" w:space="0"/>
            </w:tcBorders>
            <w:shd w:val="clear" w:color="auto" w:fill="auto"/>
            <w:vAlign w:val="center"/>
          </w:tcPr>
          <w:p w14:paraId="2A59B14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服务对象满意度指标</w:t>
            </w:r>
          </w:p>
        </w:tc>
        <w:tc>
          <w:tcPr>
            <w:tcW w:w="1533" w:type="dxa"/>
            <w:tcBorders>
              <w:top w:val="nil"/>
              <w:left w:val="nil"/>
              <w:bottom w:val="single" w:color="000000" w:sz="4" w:space="0"/>
              <w:right w:val="single" w:color="000000" w:sz="4" w:space="0"/>
            </w:tcBorders>
            <w:shd w:val="clear" w:color="auto" w:fill="auto"/>
            <w:vAlign w:val="center"/>
          </w:tcPr>
          <w:p w14:paraId="7138F9D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学生满意度</w:t>
            </w:r>
          </w:p>
        </w:tc>
        <w:tc>
          <w:tcPr>
            <w:tcW w:w="1004" w:type="dxa"/>
            <w:tcBorders>
              <w:top w:val="nil"/>
              <w:left w:val="nil"/>
              <w:bottom w:val="single" w:color="000000" w:sz="4" w:space="0"/>
              <w:right w:val="single" w:color="000000" w:sz="4" w:space="0"/>
            </w:tcBorders>
            <w:shd w:val="clear" w:color="auto" w:fill="auto"/>
            <w:vAlign w:val="center"/>
          </w:tcPr>
          <w:p w14:paraId="41374C4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≥90%</w:t>
            </w:r>
          </w:p>
        </w:tc>
        <w:tc>
          <w:tcPr>
            <w:tcW w:w="1981" w:type="dxa"/>
            <w:tcBorders>
              <w:top w:val="nil"/>
              <w:left w:val="nil"/>
              <w:bottom w:val="single" w:color="000000" w:sz="4" w:space="0"/>
              <w:right w:val="single" w:color="000000" w:sz="4" w:space="0"/>
            </w:tcBorders>
            <w:shd w:val="clear" w:color="auto" w:fill="auto"/>
            <w:vAlign w:val="center"/>
          </w:tcPr>
          <w:p w14:paraId="003BCD3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95%</w:t>
            </w:r>
          </w:p>
        </w:tc>
      </w:tr>
      <w:tr w14:paraId="33A2C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533" w:type="dxa"/>
            <w:vMerge w:val="continue"/>
            <w:tcBorders>
              <w:left w:val="nil"/>
              <w:bottom w:val="single" w:color="000000" w:sz="4" w:space="0"/>
              <w:right w:val="single" w:color="000000" w:sz="4" w:space="0"/>
            </w:tcBorders>
            <w:shd w:val="clear" w:color="auto" w:fill="auto"/>
            <w:vAlign w:val="center"/>
          </w:tcPr>
          <w:p w14:paraId="0840E1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p>
        </w:tc>
        <w:tc>
          <w:tcPr>
            <w:tcW w:w="2471" w:type="dxa"/>
            <w:vMerge w:val="continue"/>
            <w:tcBorders>
              <w:left w:val="nil"/>
              <w:bottom w:val="single" w:color="000000" w:sz="4" w:space="0"/>
              <w:right w:val="single" w:color="000000" w:sz="4" w:space="0"/>
            </w:tcBorders>
            <w:shd w:val="clear" w:color="auto" w:fill="auto"/>
            <w:vAlign w:val="center"/>
          </w:tcPr>
          <w:p w14:paraId="5D38076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p>
        </w:tc>
        <w:tc>
          <w:tcPr>
            <w:tcW w:w="1533" w:type="dxa"/>
            <w:tcBorders>
              <w:top w:val="nil"/>
              <w:left w:val="nil"/>
              <w:bottom w:val="single" w:color="000000" w:sz="4" w:space="0"/>
              <w:right w:val="single" w:color="000000" w:sz="4" w:space="0"/>
            </w:tcBorders>
            <w:shd w:val="clear" w:color="auto" w:fill="auto"/>
            <w:vAlign w:val="center"/>
          </w:tcPr>
          <w:p w14:paraId="163A88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家长满意度</w:t>
            </w:r>
          </w:p>
        </w:tc>
        <w:tc>
          <w:tcPr>
            <w:tcW w:w="1004" w:type="dxa"/>
            <w:tcBorders>
              <w:top w:val="nil"/>
              <w:left w:val="nil"/>
              <w:bottom w:val="single" w:color="000000" w:sz="4" w:space="0"/>
              <w:right w:val="single" w:color="000000" w:sz="4" w:space="0"/>
            </w:tcBorders>
            <w:shd w:val="clear" w:color="auto" w:fill="auto"/>
            <w:vAlign w:val="center"/>
          </w:tcPr>
          <w:p w14:paraId="54F3876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≥90%</w:t>
            </w:r>
          </w:p>
        </w:tc>
        <w:tc>
          <w:tcPr>
            <w:tcW w:w="1981" w:type="dxa"/>
            <w:tcBorders>
              <w:top w:val="nil"/>
              <w:left w:val="nil"/>
              <w:bottom w:val="single" w:color="000000" w:sz="4" w:space="0"/>
              <w:right w:val="single" w:color="000000" w:sz="4" w:space="0"/>
            </w:tcBorders>
            <w:shd w:val="clear" w:color="auto" w:fill="auto"/>
            <w:vAlign w:val="center"/>
          </w:tcPr>
          <w:p w14:paraId="12DF21F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95%</w:t>
            </w:r>
          </w:p>
        </w:tc>
      </w:tr>
    </w:tbl>
    <w:p w14:paraId="52C07854">
      <w:pPr>
        <w:spacing w:line="600" w:lineRule="exact"/>
        <w:ind w:firstLine="640" w:firstLineChars="200"/>
        <w:rPr>
          <w:rFonts w:hint="eastAsia" w:ascii="黑体" w:hAnsi="黑体" w:eastAsia="黑体" w:cs="黑体"/>
          <w:sz w:val="32"/>
          <w:szCs w:val="32"/>
          <w:highlight w:val="none"/>
        </w:rPr>
      </w:pPr>
    </w:p>
    <w:p w14:paraId="14A30EB7">
      <w:pPr>
        <w:spacing w:line="60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三、绩效自评结论</w:t>
      </w:r>
    </w:p>
    <w:p w14:paraId="5EDFC8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highlight w:val="none"/>
        </w:rPr>
        <w:pPrChange w:id="0" w:author="77" w:date="2026-08-21T02:14:35Z">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pPrChange>
      </w:pPr>
      <w:r>
        <w:rPr>
          <w:rFonts w:hint="eastAsia" w:ascii="仿宋_GB2312" w:hAnsi="仿宋" w:eastAsia="仿宋_GB2312"/>
          <w:sz w:val="32"/>
          <w:szCs w:val="32"/>
          <w:highlight w:val="none"/>
        </w:rPr>
        <w:t>2025年，海淀区中央学生资助转移支付资金预算执行规范，绩效目标全面实现，资助政策落实精准有效，教育公平保障作用充分发挥。</w:t>
      </w:r>
    </w:p>
    <w:p w14:paraId="59A2FB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highlight w:val="none"/>
        </w:rPr>
        <w:pPrChange w:id="1" w:author="77" w:date="2026-08-21T02:14:22Z">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pPrChange>
      </w:pPr>
      <w:r>
        <w:rPr>
          <w:rFonts w:hint="eastAsia" w:ascii="仿宋_GB2312" w:hAnsi="仿宋" w:eastAsia="仿宋_GB2312"/>
          <w:sz w:val="32"/>
          <w:szCs w:val="32"/>
          <w:highlight w:val="none"/>
        </w:rPr>
        <w:t>从资金执行看，全年中央学生资助资金下达8万元，实际支出8万元，执行率100%，资金使用规范，支出方向符合规定。从产出完成看，高中阶段应受助学生受助比例达100%，实现应助尽助；奖助学金按规定及时发放率100%，国家助学金按月发放，发放时效得到有效保障。从效益实现看，学生资助政策实施成效显著，家庭经济困难学生教育权益得到有效保障，助力学生顺利完成学业、成长成才，教育公平进一步彰显。从服务对象满意度看，学生满意度和家长满意度均达95%，高于90%的目标值，资助政策获得感和群众认可度较高。</w:t>
      </w:r>
    </w:p>
    <w:p w14:paraId="5DADDA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highlight w:val="none"/>
        </w:rPr>
      </w:pPr>
      <w:r>
        <w:rPr>
          <w:rFonts w:hint="eastAsia" w:ascii="仿宋_GB2312" w:hAnsi="仿宋" w:eastAsia="仿宋_GB2312"/>
          <w:sz w:val="32"/>
          <w:szCs w:val="32"/>
          <w:highlight w:val="none"/>
        </w:rPr>
        <w:t>综合判断，2025年度海淀区中央学生资助转移支付资金管理规范、使用合规、绩效显著，各项指标全面达到或超过预期目标。对照绩效自评标准，年度绩效自评等级建议评定为“优”。下一步，将持续落实精准资助和资助育人要求，加强资金全过程管理，进一步提高资助工作规范化水平，切实发挥学生资助在促进教育公平中的保障作用。</w:t>
      </w:r>
    </w:p>
    <w:p w14:paraId="2D0D4B84">
      <w:pPr>
        <w:widowControl/>
        <w:overflowPunct/>
        <w:spacing w:line="560" w:lineRule="exact"/>
        <w:jc w:val="left"/>
        <w:rPr>
          <w:rFonts w:hint="eastAsia" w:ascii="黑体" w:hAnsi="黑体" w:eastAsia="黑体" w:cs="Times New Roman"/>
          <w:bCs w:val="0"/>
          <w:kern w:val="2"/>
          <w:sz w:val="32"/>
          <w:szCs w:val="32"/>
          <w:highlight w:val="none"/>
          <w:lang w:eastAsia="zh-CN" w:bidi="ar"/>
        </w:rPr>
      </w:pPr>
    </w:p>
    <w:p w14:paraId="1F2F2EA0">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5</w:t>
      </w:r>
      <w:r>
        <w:rPr>
          <w:rFonts w:hint="eastAsia" w:ascii="方正小标宋简体" w:hAnsi="方正小标宋简体" w:eastAsia="方正小标宋简体" w:cs="方正小标宋简体"/>
          <w:sz w:val="44"/>
          <w:szCs w:val="44"/>
          <w:highlight w:val="none"/>
        </w:rPr>
        <w:t>年度中央对北京学前教育发展补助转移支付</w:t>
      </w:r>
    </w:p>
    <w:p w14:paraId="1134A4E1">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预算执行情况绩效自评报告</w:t>
      </w:r>
    </w:p>
    <w:p w14:paraId="1C6E2406">
      <w:pPr>
        <w:spacing w:line="600" w:lineRule="exact"/>
        <w:ind w:firstLine="640" w:firstLineChars="200"/>
        <w:rPr>
          <w:rFonts w:hint="eastAsia" w:ascii="黑体" w:hAnsi="黑体" w:eastAsia="黑体" w:cs="黑体"/>
          <w:sz w:val="32"/>
          <w:szCs w:val="32"/>
          <w:highlight w:val="none"/>
        </w:rPr>
      </w:pPr>
    </w:p>
    <w:p w14:paraId="7192ABAA">
      <w:pPr>
        <w:spacing w:line="60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一、转移支付基本情况</w:t>
      </w:r>
    </w:p>
    <w:p w14:paraId="6B227DEF">
      <w:pPr>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（一）学前教育发展补助转移支付概况。</w:t>
      </w:r>
    </w:p>
    <w:p w14:paraId="1D8121EB">
      <w:pPr>
        <w:numPr>
          <w:ilvl w:val="-1"/>
          <w:numId w:val="0"/>
        </w:numPr>
        <w:spacing w:line="560" w:lineRule="exact"/>
        <w:ind w:firstLine="640" w:firstLineChars="200"/>
        <w:rPr>
          <w:rFonts w:hint="eastAsia" w:ascii="仿宋_GB2312" w:hAnsi="仿宋" w:eastAsia="仿宋_GB2312" w:cstheme="minorBidi"/>
          <w:sz w:val="32"/>
          <w:szCs w:val="32"/>
          <w:highlight w:val="none"/>
        </w:rPr>
      </w:pPr>
      <w:r>
        <w:rPr>
          <w:rFonts w:hint="eastAsia" w:ascii="仿宋_GB2312" w:hAnsi="仿宋" w:eastAsia="仿宋_GB2312" w:cstheme="minorBidi"/>
          <w:sz w:val="32"/>
          <w:szCs w:val="32"/>
          <w:highlight w:val="none"/>
        </w:rPr>
        <w:t>2025年，中央支持学前教育发展补助经费资金共下达我区4,003万元。</w:t>
      </w:r>
    </w:p>
    <w:p w14:paraId="6237D938">
      <w:pPr>
        <w:numPr>
          <w:ilvl w:val="0"/>
          <w:numId w:val="0"/>
        </w:numPr>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kern w:val="2"/>
          <w:sz w:val="32"/>
          <w:szCs w:val="32"/>
          <w:highlight w:val="none"/>
          <w:lang w:val="en-US" w:eastAsia="zh-CN" w:bidi="ar-SA"/>
        </w:rPr>
        <w:t>（二）</w:t>
      </w:r>
      <w:r>
        <w:rPr>
          <w:rFonts w:hint="eastAsia" w:ascii="楷体_GB2312" w:hAnsi="楷体_GB2312" w:eastAsia="楷体_GB2312" w:cs="楷体_GB2312"/>
          <w:sz w:val="32"/>
          <w:szCs w:val="32"/>
          <w:highlight w:val="none"/>
        </w:rPr>
        <w:t>资金投入情况分析。</w:t>
      </w:r>
    </w:p>
    <w:p w14:paraId="1DD1AFDF">
      <w:pPr>
        <w:numPr>
          <w:ilvl w:val="-1"/>
          <w:numId w:val="0"/>
        </w:numPr>
        <w:spacing w:line="560" w:lineRule="exact"/>
        <w:ind w:firstLine="640" w:firstLineChars="200"/>
        <w:rPr>
          <w:rFonts w:hint="eastAsia" w:ascii="仿宋_GB2312" w:hAnsi="仿宋" w:eastAsia="仿宋_GB2312" w:cstheme="minorBidi"/>
          <w:sz w:val="32"/>
          <w:szCs w:val="32"/>
          <w:highlight w:val="none"/>
        </w:rPr>
      </w:pPr>
      <w:r>
        <w:rPr>
          <w:rFonts w:hint="eastAsia" w:ascii="仿宋_GB2312" w:hAnsi="仿宋" w:eastAsia="仿宋_GB2312" w:cstheme="minorBidi"/>
          <w:sz w:val="32"/>
          <w:szCs w:val="32"/>
          <w:highlight w:val="none"/>
        </w:rPr>
        <w:t>截至2025年12月底，中央支持学前教育发展补助资金4,003万元已支出4,003万元</w:t>
      </w:r>
      <w:r>
        <w:rPr>
          <w:rFonts w:hint="eastAsia" w:ascii="仿宋_GB2312" w:hAnsi="仿宋" w:eastAsia="仿宋_GB2312" w:cstheme="minorBidi"/>
          <w:sz w:val="32"/>
          <w:szCs w:val="32"/>
          <w:highlight w:val="none"/>
          <w:lang w:eastAsia="zh-CN"/>
        </w:rPr>
        <w:t>。</w:t>
      </w:r>
    </w:p>
    <w:p w14:paraId="5682298D">
      <w:pPr>
        <w:numPr>
          <w:ilvl w:val="0"/>
          <w:numId w:val="0"/>
        </w:numPr>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kern w:val="2"/>
          <w:sz w:val="32"/>
          <w:szCs w:val="32"/>
          <w:highlight w:val="none"/>
          <w:lang w:val="en-US" w:eastAsia="zh-CN" w:bidi="ar-SA"/>
        </w:rPr>
        <w:t>（三）</w:t>
      </w:r>
      <w:r>
        <w:rPr>
          <w:rFonts w:hint="eastAsia" w:ascii="楷体_GB2312" w:hAnsi="楷体_GB2312" w:eastAsia="楷体_GB2312" w:cs="楷体_GB2312"/>
          <w:sz w:val="32"/>
          <w:szCs w:val="32"/>
          <w:highlight w:val="none"/>
        </w:rPr>
        <w:t>资金管理情况分析。</w:t>
      </w:r>
    </w:p>
    <w:p w14:paraId="0666D06E">
      <w:pPr>
        <w:numPr>
          <w:ilvl w:val="-1"/>
          <w:numId w:val="0"/>
        </w:numPr>
        <w:spacing w:line="560" w:lineRule="exact"/>
        <w:ind w:firstLine="640" w:firstLineChars="200"/>
        <w:rPr>
          <w:rFonts w:hint="eastAsia" w:ascii="仿宋_GB2312" w:hAnsi="仿宋" w:eastAsia="仿宋_GB2312" w:cstheme="minorBidi"/>
          <w:sz w:val="32"/>
          <w:szCs w:val="32"/>
          <w:highlight w:val="none"/>
        </w:rPr>
      </w:pPr>
      <w:r>
        <w:rPr>
          <w:rFonts w:hint="eastAsia" w:ascii="仿宋_GB2312" w:hAnsi="仿宋" w:eastAsia="仿宋_GB2312" w:cstheme="minorBidi"/>
          <w:sz w:val="32"/>
          <w:szCs w:val="32"/>
          <w:highlight w:val="none"/>
        </w:rPr>
        <w:t>在资金分配的科学性方面，严格依据资金管理办法及我区实际需求进行统筹，确保分配结果契合区域发展需要，做到科学合理、及时下达。</w:t>
      </w:r>
    </w:p>
    <w:p w14:paraId="204DE8E9">
      <w:pPr>
        <w:numPr>
          <w:ilvl w:val="-1"/>
          <w:numId w:val="0"/>
        </w:numPr>
        <w:spacing w:line="560" w:lineRule="exact"/>
        <w:ind w:firstLine="640" w:firstLineChars="200"/>
        <w:rPr>
          <w:rFonts w:hint="eastAsia" w:ascii="仿宋_GB2312" w:hAnsi="仿宋" w:eastAsia="仿宋_GB2312" w:cstheme="minorBidi"/>
          <w:sz w:val="32"/>
          <w:szCs w:val="32"/>
          <w:highlight w:val="none"/>
        </w:rPr>
      </w:pPr>
      <w:r>
        <w:rPr>
          <w:rFonts w:hint="eastAsia" w:ascii="仿宋_GB2312" w:hAnsi="仿宋" w:eastAsia="仿宋_GB2312" w:cstheme="minorBidi"/>
          <w:sz w:val="32"/>
          <w:szCs w:val="32"/>
          <w:highlight w:val="none"/>
        </w:rPr>
        <w:t>在预算绩效管理方面，通过加强绩效引导，优化预算分配与资金使用过程，保障资金高效运转和项目顺利推进。</w:t>
      </w:r>
    </w:p>
    <w:p w14:paraId="006A6581">
      <w:pPr>
        <w:numPr>
          <w:ilvl w:val="-1"/>
          <w:numId w:val="0"/>
        </w:numPr>
        <w:spacing w:line="560" w:lineRule="exact"/>
        <w:ind w:firstLine="640" w:firstLineChars="200"/>
        <w:rPr>
          <w:rFonts w:hint="eastAsia" w:ascii="仿宋_GB2312" w:hAnsi="仿宋" w:eastAsia="仿宋_GB2312" w:cstheme="minorBidi"/>
          <w:sz w:val="32"/>
          <w:szCs w:val="32"/>
          <w:highlight w:val="none"/>
        </w:rPr>
      </w:pPr>
      <w:r>
        <w:rPr>
          <w:rFonts w:hint="eastAsia" w:ascii="仿宋_GB2312" w:hAnsi="仿宋" w:eastAsia="仿宋_GB2312" w:cstheme="minorBidi"/>
          <w:sz w:val="32"/>
          <w:szCs w:val="32"/>
          <w:highlight w:val="none"/>
        </w:rPr>
        <w:t>在支出责任履行方面，注重资金使用的合规性与有效性，强化对各项支出的规范管理，确保资金拨付符合规定、使用严格规范、执行准确到位。</w:t>
      </w:r>
    </w:p>
    <w:p w14:paraId="04D8F76E">
      <w:pPr>
        <w:spacing w:line="60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二、绩效目标实现情况</w:t>
      </w:r>
    </w:p>
    <w:p w14:paraId="43E10F82">
      <w:pPr>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（一）总体绩效目标完成情况分析。</w:t>
      </w:r>
    </w:p>
    <w:p w14:paraId="7BA237CC">
      <w:pPr>
        <w:keepNext w:val="0"/>
        <w:keepLines w:val="0"/>
        <w:pageBreakBefore w:val="0"/>
        <w:widowControl/>
        <w:numPr>
          <w:ilvl w:val="-1"/>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heme="minorBidi"/>
          <w:sz w:val="32"/>
          <w:szCs w:val="32"/>
          <w:highlight w:val="none"/>
        </w:rPr>
      </w:pPr>
      <w:r>
        <w:rPr>
          <w:rFonts w:hint="eastAsia" w:ascii="仿宋_GB2312" w:hAnsi="仿宋" w:eastAsia="仿宋_GB2312" w:cstheme="minorBidi"/>
          <w:sz w:val="32"/>
          <w:szCs w:val="32"/>
          <w:highlight w:val="none"/>
        </w:rPr>
        <w:t>1</w:t>
      </w:r>
      <w:r>
        <w:rPr>
          <w:rFonts w:hint="eastAsia" w:ascii="仿宋_GB2312" w:hAnsi="仿宋" w:eastAsia="仿宋_GB2312" w:cstheme="minorBidi"/>
          <w:sz w:val="32"/>
          <w:szCs w:val="32"/>
          <w:highlight w:val="none"/>
          <w:lang w:eastAsia="zh-CN"/>
        </w:rPr>
        <w:t>.</w:t>
      </w:r>
      <w:r>
        <w:rPr>
          <w:rFonts w:hint="eastAsia" w:ascii="仿宋_GB2312" w:hAnsi="仿宋" w:eastAsia="仿宋_GB2312" w:cstheme="minorBidi"/>
          <w:sz w:val="32"/>
          <w:szCs w:val="32"/>
          <w:highlight w:val="none"/>
        </w:rPr>
        <w:t>年度绩效目标设定</w:t>
      </w:r>
    </w:p>
    <w:p w14:paraId="21035B3A">
      <w:pPr>
        <w:keepNext w:val="0"/>
        <w:keepLines w:val="0"/>
        <w:pageBreakBefore w:val="0"/>
        <w:widowControl/>
        <w:numPr>
          <w:ilvl w:val="-1"/>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heme="minorBidi"/>
          <w:sz w:val="32"/>
          <w:szCs w:val="32"/>
          <w:highlight w:val="none"/>
          <w:lang w:val="en-US" w:eastAsia="zh-CN"/>
        </w:rPr>
      </w:pPr>
      <w:r>
        <w:rPr>
          <w:rFonts w:hint="eastAsia" w:ascii="仿宋_GB2312" w:hAnsi="仿宋" w:eastAsia="仿宋_GB2312" w:cstheme="minorBidi"/>
          <w:sz w:val="32"/>
          <w:szCs w:val="32"/>
          <w:highlight w:val="none"/>
          <w:lang w:val="en-US" w:eastAsia="zh-CN"/>
        </w:rPr>
        <w:t>2025年，积极应对学龄人口变化，坚持公益普惠，保障普惠性幼儿园运转，提高幼儿园办园质量，推动全市学前教育质量提升。落实免费学前教育政策，减免学前一年儿童保育教育费。</w:t>
      </w:r>
    </w:p>
    <w:p w14:paraId="75B9F613">
      <w:pPr>
        <w:keepNext w:val="0"/>
        <w:keepLines w:val="0"/>
        <w:pageBreakBefore w:val="0"/>
        <w:widowControl/>
        <w:numPr>
          <w:ilvl w:val="-1"/>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heme="minorBidi"/>
          <w:sz w:val="32"/>
          <w:szCs w:val="32"/>
          <w:highlight w:val="none"/>
          <w:lang w:val="en-US" w:eastAsia="zh-CN"/>
        </w:rPr>
      </w:pPr>
      <w:r>
        <w:rPr>
          <w:rFonts w:hint="eastAsia" w:ascii="仿宋_GB2312" w:hAnsi="仿宋" w:eastAsia="仿宋_GB2312" w:cstheme="minorBidi"/>
          <w:sz w:val="32"/>
          <w:szCs w:val="32"/>
          <w:highlight w:val="none"/>
          <w:lang w:val="en-US" w:eastAsia="zh-CN"/>
        </w:rPr>
        <w:t>2.完成情况</w:t>
      </w:r>
    </w:p>
    <w:p w14:paraId="1C66F3F4">
      <w:pPr>
        <w:numPr>
          <w:ilvl w:val="-1"/>
          <w:numId w:val="0"/>
        </w:numPr>
        <w:spacing w:line="560" w:lineRule="exact"/>
        <w:ind w:firstLine="640" w:firstLineChars="200"/>
        <w:rPr>
          <w:rFonts w:hint="eastAsia" w:ascii="仿宋_GB2312" w:hAnsi="仿宋" w:eastAsia="仿宋_GB2312" w:cstheme="minorBidi"/>
          <w:sz w:val="32"/>
          <w:szCs w:val="32"/>
          <w:highlight w:val="none"/>
        </w:rPr>
      </w:pPr>
      <w:r>
        <w:rPr>
          <w:rFonts w:hint="eastAsia" w:ascii="仿宋_GB2312" w:hAnsi="仿宋" w:eastAsia="仿宋_GB2312" w:cstheme="minorBidi"/>
          <w:sz w:val="32"/>
          <w:szCs w:val="32"/>
          <w:highlight w:val="none"/>
          <w:lang w:val="en-US" w:eastAsia="zh-CN"/>
        </w:rPr>
        <w:t>构建学前教育发展新格局，实现高水平“幼有所育”。落实减免学前教育政策，提升教育质量，引导幼儿园扩大学前教育资源，进一步缓解了“入园难”问题。构建区统园招、就近就便、应招尽招、质量为先的学前教育发展新格局。</w:t>
      </w:r>
    </w:p>
    <w:p w14:paraId="4B0ACD89">
      <w:pPr>
        <w:numPr>
          <w:ilvl w:val="0"/>
          <w:numId w:val="2"/>
        </w:numPr>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绩效指标完成情况分析。</w:t>
      </w:r>
    </w:p>
    <w:p w14:paraId="1F9312E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highlight w:val="none"/>
        </w:rPr>
      </w:pPr>
      <w:r>
        <w:rPr>
          <w:rFonts w:hint="eastAsia" w:ascii="仿宋_GB2312" w:hAnsi="黑体" w:eastAsia="仿宋_GB2312" w:cs="Times New Roman"/>
          <w:kern w:val="2"/>
          <w:sz w:val="32"/>
          <w:szCs w:val="32"/>
          <w:highlight w:val="none"/>
          <w:lang w:val="en-US" w:eastAsia="zh-CN" w:bidi="ar-SA"/>
        </w:rPr>
        <w:t>1.</w:t>
      </w:r>
      <w:r>
        <w:rPr>
          <w:rFonts w:hint="eastAsia" w:ascii="仿宋_GB2312" w:hAnsi="黑体" w:eastAsia="仿宋_GB2312"/>
          <w:sz w:val="32"/>
          <w:szCs w:val="32"/>
          <w:highlight w:val="none"/>
        </w:rPr>
        <w:t>效益指标</w:t>
      </w:r>
      <w:r>
        <w:rPr>
          <w:rFonts w:hint="eastAsia" w:ascii="仿宋_GB2312" w:hAnsi="黑体" w:eastAsia="仿宋_GB2312"/>
          <w:sz w:val="32"/>
          <w:szCs w:val="32"/>
          <w:highlight w:val="none"/>
          <w:lang w:eastAsia="zh-CN"/>
        </w:rPr>
        <w:t>分解下达和</w:t>
      </w:r>
      <w:r>
        <w:rPr>
          <w:rFonts w:hint="eastAsia" w:ascii="仿宋_GB2312" w:hAnsi="黑体" w:eastAsia="仿宋_GB2312"/>
          <w:sz w:val="32"/>
          <w:szCs w:val="32"/>
          <w:highlight w:val="none"/>
        </w:rPr>
        <w:t>完成情况分析</w:t>
      </w:r>
    </w:p>
    <w:p w14:paraId="4E0D8810">
      <w:pPr>
        <w:keepNext w:val="0"/>
        <w:keepLines w:val="0"/>
        <w:pageBreakBefore w:val="0"/>
        <w:widowControl/>
        <w:numPr>
          <w:ilvl w:val="-1"/>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heme="minorBidi"/>
          <w:sz w:val="32"/>
          <w:szCs w:val="32"/>
          <w:highlight w:val="none"/>
          <w:lang w:eastAsia="zh-CN"/>
        </w:rPr>
      </w:pPr>
      <w:r>
        <w:rPr>
          <w:rFonts w:hint="eastAsia" w:ascii="仿宋_GB2312" w:hAnsi="仿宋" w:eastAsia="仿宋_GB2312" w:cstheme="minorBidi"/>
          <w:sz w:val="32"/>
          <w:szCs w:val="32"/>
          <w:highlight w:val="none"/>
        </w:rPr>
        <w:t>根据项目情况，将效益指标分解为二级社会效益指标。社会效益指标为各区学前教育普惠保障水平</w:t>
      </w:r>
      <w:r>
        <w:rPr>
          <w:rFonts w:hint="eastAsia" w:ascii="仿宋_GB2312" w:hAnsi="仿宋" w:eastAsia="仿宋_GB2312" w:cstheme="minorBidi"/>
          <w:sz w:val="32"/>
          <w:szCs w:val="32"/>
          <w:highlight w:val="none"/>
          <w:lang w:val="en-US" w:eastAsia="zh-CN"/>
        </w:rPr>
        <w:t>和公办园在园幼儿占比。2025年海淀区学前教育核心指标全部达成，学前三年入园率95%，普惠率94%，海淀区学前教育普惠保障水平得到显著提高，</w:t>
      </w:r>
      <w:r>
        <w:rPr>
          <w:rFonts w:hint="eastAsia" w:ascii="仿宋_GB2312" w:hAnsi="仿宋" w:eastAsia="仿宋_GB2312" w:cstheme="minorBidi"/>
          <w:sz w:val="32"/>
          <w:szCs w:val="32"/>
          <w:highlight w:val="none"/>
        </w:rPr>
        <w:t>优化教育发展环境，持续健全与完善</w:t>
      </w:r>
      <w:r>
        <w:rPr>
          <w:rFonts w:hint="eastAsia" w:ascii="仿宋_GB2312" w:hAnsi="仿宋" w:eastAsia="仿宋_GB2312" w:cstheme="minorBidi"/>
          <w:sz w:val="32"/>
          <w:szCs w:val="32"/>
          <w:highlight w:val="none"/>
          <w:lang w:val="en-US" w:eastAsia="zh-CN"/>
        </w:rPr>
        <w:t>学前</w:t>
      </w:r>
      <w:r>
        <w:rPr>
          <w:rFonts w:hint="eastAsia" w:ascii="仿宋_GB2312" w:hAnsi="仿宋" w:eastAsia="仿宋_GB2312" w:cstheme="minorBidi"/>
          <w:sz w:val="32"/>
          <w:szCs w:val="32"/>
          <w:highlight w:val="none"/>
        </w:rPr>
        <w:t>教育经费保障机制</w:t>
      </w:r>
      <w:r>
        <w:rPr>
          <w:rFonts w:hint="eastAsia" w:ascii="仿宋_GB2312" w:hAnsi="仿宋" w:eastAsia="仿宋_GB2312" w:cstheme="minorBidi"/>
          <w:sz w:val="32"/>
          <w:szCs w:val="32"/>
          <w:highlight w:val="none"/>
          <w:lang w:eastAsia="zh-CN"/>
        </w:rPr>
        <w:t>。</w:t>
      </w:r>
    </w:p>
    <w:p w14:paraId="3D00515A">
      <w:pPr>
        <w:keepNext w:val="0"/>
        <w:keepLines w:val="0"/>
        <w:pageBreakBefore w:val="0"/>
        <w:widowControl/>
        <w:numPr>
          <w:ilvl w:val="-1"/>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highlight w:val="none"/>
        </w:rPr>
      </w:pPr>
    </w:p>
    <w:tbl>
      <w:tblPr>
        <w:tblStyle w:val="12"/>
        <w:tblW w:w="88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19"/>
        <w:gridCol w:w="1656"/>
        <w:gridCol w:w="2920"/>
        <w:gridCol w:w="1216"/>
        <w:gridCol w:w="1794"/>
      </w:tblGrid>
      <w:tr w14:paraId="63636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219" w:type="dxa"/>
            <w:tcBorders>
              <w:top w:val="nil"/>
              <w:left w:val="nil"/>
              <w:bottom w:val="single" w:color="000000" w:sz="4" w:space="0"/>
              <w:right w:val="single" w:color="000000" w:sz="4" w:space="0"/>
            </w:tcBorders>
            <w:shd w:val="clear" w:color="auto" w:fill="auto"/>
            <w:vAlign w:val="center"/>
          </w:tcPr>
          <w:p w14:paraId="5BF86DD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一级指标</w:t>
            </w:r>
          </w:p>
        </w:tc>
        <w:tc>
          <w:tcPr>
            <w:tcW w:w="1656" w:type="dxa"/>
            <w:tcBorders>
              <w:top w:val="nil"/>
              <w:left w:val="nil"/>
              <w:bottom w:val="single" w:color="000000" w:sz="4" w:space="0"/>
              <w:right w:val="single" w:color="000000" w:sz="4" w:space="0"/>
            </w:tcBorders>
            <w:shd w:val="clear" w:color="auto" w:fill="auto"/>
            <w:vAlign w:val="center"/>
          </w:tcPr>
          <w:p w14:paraId="49B63F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二级指标</w:t>
            </w:r>
          </w:p>
        </w:tc>
        <w:tc>
          <w:tcPr>
            <w:tcW w:w="2920" w:type="dxa"/>
            <w:tcBorders>
              <w:top w:val="nil"/>
              <w:left w:val="nil"/>
              <w:bottom w:val="single" w:color="000000" w:sz="4" w:space="0"/>
              <w:right w:val="single" w:color="000000" w:sz="4" w:space="0"/>
            </w:tcBorders>
            <w:shd w:val="clear" w:color="auto" w:fill="auto"/>
            <w:vAlign w:val="center"/>
          </w:tcPr>
          <w:p w14:paraId="674124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三级指标</w:t>
            </w:r>
          </w:p>
        </w:tc>
        <w:tc>
          <w:tcPr>
            <w:tcW w:w="1216" w:type="dxa"/>
            <w:tcBorders>
              <w:top w:val="nil"/>
              <w:left w:val="nil"/>
              <w:bottom w:val="single" w:color="000000" w:sz="4" w:space="0"/>
              <w:right w:val="single" w:color="000000" w:sz="4" w:space="0"/>
            </w:tcBorders>
            <w:shd w:val="clear" w:color="auto" w:fill="auto"/>
            <w:vAlign w:val="center"/>
          </w:tcPr>
          <w:p w14:paraId="2FE97E6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指标值</w:t>
            </w:r>
          </w:p>
        </w:tc>
        <w:tc>
          <w:tcPr>
            <w:tcW w:w="1794" w:type="dxa"/>
            <w:tcBorders>
              <w:top w:val="nil"/>
              <w:left w:val="nil"/>
              <w:bottom w:val="single" w:color="000000" w:sz="4" w:space="0"/>
              <w:right w:val="single" w:color="000000" w:sz="4" w:space="0"/>
            </w:tcBorders>
            <w:shd w:val="clear" w:color="auto" w:fill="auto"/>
            <w:vAlign w:val="center"/>
          </w:tcPr>
          <w:p w14:paraId="05C97FA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全年实际完成值</w:t>
            </w:r>
          </w:p>
        </w:tc>
      </w:tr>
      <w:tr w14:paraId="1DAD8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19" w:type="dxa"/>
            <w:vMerge w:val="restart"/>
            <w:tcBorders>
              <w:top w:val="nil"/>
              <w:left w:val="nil"/>
              <w:right w:val="single" w:color="000000" w:sz="4" w:space="0"/>
            </w:tcBorders>
            <w:shd w:val="clear" w:color="auto" w:fill="auto"/>
            <w:vAlign w:val="center"/>
          </w:tcPr>
          <w:p w14:paraId="0D0AA4AF">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效益指标</w:t>
            </w:r>
          </w:p>
        </w:tc>
        <w:tc>
          <w:tcPr>
            <w:tcW w:w="1656" w:type="dxa"/>
            <w:vMerge w:val="restart"/>
            <w:tcBorders>
              <w:top w:val="nil"/>
              <w:left w:val="nil"/>
              <w:right w:val="single" w:color="000000" w:sz="4" w:space="0"/>
            </w:tcBorders>
            <w:shd w:val="clear" w:color="auto" w:fill="auto"/>
            <w:vAlign w:val="center"/>
          </w:tcPr>
          <w:p w14:paraId="77EFCD40">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社会效益指标</w:t>
            </w:r>
          </w:p>
        </w:tc>
        <w:tc>
          <w:tcPr>
            <w:tcW w:w="2920" w:type="dxa"/>
            <w:tcBorders>
              <w:top w:val="nil"/>
              <w:left w:val="nil"/>
              <w:bottom w:val="single" w:color="000000" w:sz="4" w:space="0"/>
              <w:right w:val="single" w:color="000000" w:sz="4" w:space="0"/>
            </w:tcBorders>
            <w:shd w:val="clear" w:color="auto" w:fill="auto"/>
            <w:vAlign w:val="center"/>
          </w:tcPr>
          <w:p w14:paraId="17C7D91F">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各区学前教育普惠保障水平</w:t>
            </w:r>
          </w:p>
        </w:tc>
        <w:tc>
          <w:tcPr>
            <w:tcW w:w="1216" w:type="dxa"/>
            <w:tcBorders>
              <w:top w:val="nil"/>
              <w:left w:val="nil"/>
              <w:bottom w:val="single" w:color="000000" w:sz="4" w:space="0"/>
              <w:right w:val="single" w:color="000000" w:sz="4" w:space="0"/>
            </w:tcBorders>
            <w:shd w:val="clear" w:color="auto" w:fill="auto"/>
            <w:vAlign w:val="center"/>
          </w:tcPr>
          <w:p w14:paraId="256410F8">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有效提高</w:t>
            </w:r>
          </w:p>
        </w:tc>
        <w:tc>
          <w:tcPr>
            <w:tcW w:w="1794" w:type="dxa"/>
            <w:tcBorders>
              <w:top w:val="nil"/>
              <w:left w:val="nil"/>
              <w:bottom w:val="single" w:color="000000" w:sz="4" w:space="0"/>
              <w:right w:val="single" w:color="000000" w:sz="4" w:space="0"/>
            </w:tcBorders>
            <w:shd w:val="clear" w:color="auto" w:fill="auto"/>
            <w:vAlign w:val="center"/>
          </w:tcPr>
          <w:p w14:paraId="0F1EDBAF">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有效提高</w:t>
            </w:r>
          </w:p>
        </w:tc>
      </w:tr>
      <w:tr w14:paraId="36F9C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19" w:type="dxa"/>
            <w:vMerge w:val="continue"/>
            <w:tcBorders>
              <w:left w:val="nil"/>
              <w:bottom w:val="single" w:color="000000" w:sz="4" w:space="0"/>
              <w:right w:val="single" w:color="000000" w:sz="4" w:space="0"/>
            </w:tcBorders>
            <w:shd w:val="clear" w:color="auto" w:fill="auto"/>
            <w:vAlign w:val="center"/>
          </w:tcPr>
          <w:p w14:paraId="16EEF073">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1656" w:type="dxa"/>
            <w:vMerge w:val="continue"/>
            <w:tcBorders>
              <w:left w:val="nil"/>
              <w:bottom w:val="single" w:color="000000" w:sz="4" w:space="0"/>
              <w:right w:val="single" w:color="000000" w:sz="4" w:space="0"/>
            </w:tcBorders>
            <w:shd w:val="clear" w:color="auto" w:fill="auto"/>
            <w:vAlign w:val="center"/>
          </w:tcPr>
          <w:p w14:paraId="73721226">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2920" w:type="dxa"/>
            <w:tcBorders>
              <w:top w:val="nil"/>
              <w:left w:val="nil"/>
              <w:bottom w:val="single" w:color="000000" w:sz="4" w:space="0"/>
              <w:right w:val="single" w:color="000000" w:sz="4" w:space="0"/>
            </w:tcBorders>
            <w:shd w:val="clear" w:color="auto" w:fill="auto"/>
            <w:vAlign w:val="center"/>
          </w:tcPr>
          <w:p w14:paraId="69E879D0">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公办园在园幼儿占比</w:t>
            </w:r>
          </w:p>
        </w:tc>
        <w:tc>
          <w:tcPr>
            <w:tcW w:w="1216" w:type="dxa"/>
            <w:tcBorders>
              <w:top w:val="nil"/>
              <w:left w:val="nil"/>
              <w:bottom w:val="single" w:color="000000" w:sz="4" w:space="0"/>
              <w:right w:val="single" w:color="000000" w:sz="4" w:space="0"/>
            </w:tcBorders>
            <w:shd w:val="clear" w:color="auto" w:fill="auto"/>
            <w:vAlign w:val="center"/>
          </w:tcPr>
          <w:p w14:paraId="22EF267F">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持续提高</w:t>
            </w:r>
          </w:p>
        </w:tc>
        <w:tc>
          <w:tcPr>
            <w:tcW w:w="1794" w:type="dxa"/>
            <w:tcBorders>
              <w:top w:val="nil"/>
              <w:left w:val="nil"/>
              <w:bottom w:val="single" w:color="000000" w:sz="4" w:space="0"/>
              <w:right w:val="single" w:color="000000" w:sz="4" w:space="0"/>
            </w:tcBorders>
            <w:shd w:val="clear" w:color="auto" w:fill="auto"/>
            <w:vAlign w:val="center"/>
          </w:tcPr>
          <w:p w14:paraId="124B9A5D">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持续提高</w:t>
            </w:r>
          </w:p>
        </w:tc>
      </w:tr>
    </w:tbl>
    <w:p w14:paraId="4CE306FB">
      <w:pPr>
        <w:keepNext w:val="0"/>
        <w:keepLines w:val="0"/>
        <w:pageBreakBefore w:val="0"/>
        <w:widowControl/>
        <w:numPr>
          <w:ilvl w:val="-1"/>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theme="minorBidi"/>
          <w:sz w:val="32"/>
          <w:szCs w:val="32"/>
          <w:highlight w:val="none"/>
        </w:rPr>
      </w:pPr>
      <w:r>
        <w:rPr>
          <w:rFonts w:hint="eastAsia" w:ascii="仿宋_GB2312" w:hAnsi="仿宋" w:eastAsia="仿宋_GB2312" w:cstheme="minorBidi"/>
          <w:sz w:val="32"/>
          <w:szCs w:val="32"/>
          <w:highlight w:val="none"/>
          <w:lang w:val="en-US" w:eastAsia="zh-CN"/>
        </w:rPr>
        <w:t>2.</w:t>
      </w:r>
      <w:r>
        <w:rPr>
          <w:rFonts w:hint="eastAsia" w:ascii="仿宋_GB2312" w:hAnsi="仿宋" w:eastAsia="仿宋_GB2312" w:cstheme="minorBidi"/>
          <w:sz w:val="32"/>
          <w:szCs w:val="32"/>
          <w:highlight w:val="none"/>
        </w:rPr>
        <w:t>满意度指标</w:t>
      </w:r>
      <w:r>
        <w:rPr>
          <w:rFonts w:hint="eastAsia" w:ascii="仿宋_GB2312" w:hAnsi="仿宋" w:eastAsia="仿宋_GB2312" w:cstheme="minorBidi"/>
          <w:sz w:val="32"/>
          <w:szCs w:val="32"/>
          <w:highlight w:val="none"/>
          <w:lang w:eastAsia="zh-CN"/>
        </w:rPr>
        <w:t>分解下达和</w:t>
      </w:r>
      <w:r>
        <w:rPr>
          <w:rFonts w:hint="eastAsia" w:ascii="仿宋_GB2312" w:hAnsi="仿宋" w:eastAsia="仿宋_GB2312" w:cstheme="minorBidi"/>
          <w:sz w:val="32"/>
          <w:szCs w:val="32"/>
          <w:highlight w:val="none"/>
        </w:rPr>
        <w:t>完成情况分析</w:t>
      </w:r>
    </w:p>
    <w:p w14:paraId="29F87EC2">
      <w:pPr>
        <w:keepNext w:val="0"/>
        <w:keepLines w:val="0"/>
        <w:pageBreakBefore w:val="0"/>
        <w:widowControl/>
        <w:numPr>
          <w:ilvl w:val="-1"/>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heme="minorBidi"/>
          <w:sz w:val="32"/>
          <w:szCs w:val="32"/>
          <w:highlight w:val="none"/>
        </w:rPr>
      </w:pPr>
      <w:r>
        <w:rPr>
          <w:rFonts w:hint="eastAsia" w:ascii="仿宋_GB2312" w:hAnsi="仿宋" w:eastAsia="仿宋_GB2312" w:cstheme="minorBidi"/>
          <w:sz w:val="32"/>
          <w:szCs w:val="32"/>
          <w:highlight w:val="none"/>
        </w:rPr>
        <w:t>根据项目情况，将满意度指标分解为二级服务对象满意度指标，通过分析资金覆盖范围，明确资金使用效益的三级具体指标，主要考虑受益</w:t>
      </w:r>
      <w:r>
        <w:rPr>
          <w:rFonts w:hint="eastAsia" w:ascii="仿宋_GB2312" w:hAnsi="仿宋" w:eastAsia="仿宋_GB2312" w:cstheme="minorBidi"/>
          <w:sz w:val="32"/>
          <w:szCs w:val="32"/>
          <w:highlight w:val="none"/>
          <w:lang w:val="en-US" w:eastAsia="zh-CN"/>
        </w:rPr>
        <w:t>幼儿园和老师满意度</w:t>
      </w:r>
      <w:r>
        <w:rPr>
          <w:rFonts w:hint="eastAsia" w:ascii="仿宋_GB2312" w:hAnsi="仿宋" w:eastAsia="仿宋_GB2312" w:cstheme="minorBidi"/>
          <w:sz w:val="32"/>
          <w:szCs w:val="32"/>
          <w:highlight w:val="none"/>
        </w:rPr>
        <w:t>和</w:t>
      </w:r>
      <w:r>
        <w:rPr>
          <w:rFonts w:hint="eastAsia" w:ascii="仿宋_GB2312" w:hAnsi="仿宋" w:eastAsia="仿宋_GB2312" w:cstheme="minorBidi"/>
          <w:sz w:val="32"/>
          <w:szCs w:val="32"/>
          <w:highlight w:val="none"/>
          <w:lang w:val="en-US" w:eastAsia="zh-CN"/>
        </w:rPr>
        <w:t>幼儿家长</w:t>
      </w:r>
      <w:r>
        <w:rPr>
          <w:rFonts w:hint="eastAsia" w:ascii="仿宋_GB2312" w:hAnsi="仿宋" w:eastAsia="仿宋_GB2312" w:cstheme="minorBidi"/>
          <w:sz w:val="32"/>
          <w:szCs w:val="32"/>
          <w:highlight w:val="none"/>
        </w:rPr>
        <w:t>满意度。</w:t>
      </w:r>
    </w:p>
    <w:p w14:paraId="03FF7DB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highlight w:val="none"/>
        </w:rPr>
      </w:pPr>
    </w:p>
    <w:tbl>
      <w:tblPr>
        <w:tblStyle w:val="12"/>
        <w:tblW w:w="87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36"/>
        <w:gridCol w:w="2244"/>
        <w:gridCol w:w="2244"/>
        <w:gridCol w:w="998"/>
        <w:gridCol w:w="1793"/>
      </w:tblGrid>
      <w:tr w14:paraId="76DFA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436" w:type="dxa"/>
            <w:tcBorders>
              <w:top w:val="nil"/>
              <w:left w:val="nil"/>
              <w:bottom w:val="single" w:color="000000" w:sz="4" w:space="0"/>
              <w:right w:val="single" w:color="000000" w:sz="4" w:space="0"/>
            </w:tcBorders>
            <w:shd w:val="clear" w:color="auto" w:fill="auto"/>
            <w:vAlign w:val="center"/>
          </w:tcPr>
          <w:p w14:paraId="7F62763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一级指标</w:t>
            </w:r>
          </w:p>
        </w:tc>
        <w:tc>
          <w:tcPr>
            <w:tcW w:w="2244" w:type="dxa"/>
            <w:tcBorders>
              <w:top w:val="nil"/>
              <w:left w:val="nil"/>
              <w:bottom w:val="single" w:color="000000" w:sz="4" w:space="0"/>
              <w:right w:val="single" w:color="000000" w:sz="4" w:space="0"/>
            </w:tcBorders>
            <w:shd w:val="clear" w:color="auto" w:fill="auto"/>
            <w:vAlign w:val="center"/>
          </w:tcPr>
          <w:p w14:paraId="03D2EE8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二级指标</w:t>
            </w:r>
          </w:p>
        </w:tc>
        <w:tc>
          <w:tcPr>
            <w:tcW w:w="2244" w:type="dxa"/>
            <w:tcBorders>
              <w:top w:val="nil"/>
              <w:left w:val="nil"/>
              <w:bottom w:val="single" w:color="000000" w:sz="4" w:space="0"/>
              <w:right w:val="single" w:color="000000" w:sz="4" w:space="0"/>
            </w:tcBorders>
            <w:shd w:val="clear" w:color="auto" w:fill="auto"/>
            <w:vAlign w:val="center"/>
          </w:tcPr>
          <w:p w14:paraId="6C01DE0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三级指标</w:t>
            </w:r>
          </w:p>
        </w:tc>
        <w:tc>
          <w:tcPr>
            <w:tcW w:w="998" w:type="dxa"/>
            <w:tcBorders>
              <w:top w:val="nil"/>
              <w:left w:val="nil"/>
              <w:bottom w:val="single" w:color="000000" w:sz="4" w:space="0"/>
              <w:right w:val="single" w:color="000000" w:sz="4" w:space="0"/>
            </w:tcBorders>
            <w:shd w:val="clear" w:color="auto" w:fill="auto"/>
            <w:vAlign w:val="center"/>
          </w:tcPr>
          <w:p w14:paraId="73820C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指标值</w:t>
            </w:r>
          </w:p>
        </w:tc>
        <w:tc>
          <w:tcPr>
            <w:tcW w:w="1793" w:type="dxa"/>
            <w:tcBorders>
              <w:top w:val="nil"/>
              <w:left w:val="nil"/>
              <w:bottom w:val="single" w:color="000000" w:sz="4" w:space="0"/>
              <w:right w:val="single" w:color="000000" w:sz="4" w:space="0"/>
            </w:tcBorders>
            <w:shd w:val="clear" w:color="auto" w:fill="auto"/>
            <w:vAlign w:val="center"/>
          </w:tcPr>
          <w:p w14:paraId="72934B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2"/>
                <w:szCs w:val="22"/>
                <w:highlight w:val="none"/>
                <w:u w:val="none"/>
              </w:rPr>
            </w:pPr>
            <w:r>
              <w:rPr>
                <w:rFonts w:hint="eastAsia" w:ascii="宋体" w:hAnsi="宋体" w:eastAsia="宋体" w:cs="宋体"/>
                <w:b/>
                <w:i w:val="0"/>
                <w:iCs w:val="0"/>
                <w:color w:val="000000"/>
                <w:kern w:val="0"/>
                <w:sz w:val="22"/>
                <w:szCs w:val="22"/>
                <w:highlight w:val="none"/>
                <w:u w:val="none"/>
                <w:lang w:val="en-US" w:eastAsia="zh-CN" w:bidi="ar"/>
              </w:rPr>
              <w:t>全年实际完成值</w:t>
            </w:r>
          </w:p>
        </w:tc>
      </w:tr>
      <w:tr w14:paraId="0E0B2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436" w:type="dxa"/>
            <w:vMerge w:val="restart"/>
            <w:tcBorders>
              <w:top w:val="nil"/>
              <w:left w:val="nil"/>
              <w:right w:val="single" w:color="000000" w:sz="4" w:space="0"/>
            </w:tcBorders>
            <w:shd w:val="clear" w:color="auto" w:fill="auto"/>
            <w:vAlign w:val="center"/>
          </w:tcPr>
          <w:p w14:paraId="0CEFD8E9">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满意度指标</w:t>
            </w:r>
          </w:p>
        </w:tc>
        <w:tc>
          <w:tcPr>
            <w:tcW w:w="2244" w:type="dxa"/>
            <w:vMerge w:val="restart"/>
            <w:tcBorders>
              <w:top w:val="nil"/>
              <w:left w:val="nil"/>
              <w:right w:val="single" w:color="000000" w:sz="4" w:space="0"/>
            </w:tcBorders>
            <w:shd w:val="clear" w:color="auto" w:fill="auto"/>
            <w:vAlign w:val="center"/>
          </w:tcPr>
          <w:p w14:paraId="13F9AB1A">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服务对象满意度指标</w:t>
            </w:r>
          </w:p>
        </w:tc>
        <w:tc>
          <w:tcPr>
            <w:tcW w:w="2244" w:type="dxa"/>
            <w:tcBorders>
              <w:top w:val="nil"/>
              <w:left w:val="nil"/>
              <w:bottom w:val="single" w:color="000000" w:sz="4" w:space="0"/>
              <w:right w:val="single" w:color="000000" w:sz="4" w:space="0"/>
            </w:tcBorders>
            <w:shd w:val="clear" w:color="auto" w:fill="auto"/>
            <w:vAlign w:val="center"/>
          </w:tcPr>
          <w:p w14:paraId="0E35B6DC">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幼儿园和老师满意度</w:t>
            </w:r>
          </w:p>
        </w:tc>
        <w:tc>
          <w:tcPr>
            <w:tcW w:w="998" w:type="dxa"/>
            <w:tcBorders>
              <w:top w:val="nil"/>
              <w:left w:val="nil"/>
              <w:bottom w:val="single" w:color="000000" w:sz="4" w:space="0"/>
              <w:right w:val="single" w:color="000000" w:sz="4" w:space="0"/>
            </w:tcBorders>
            <w:shd w:val="clear" w:color="auto" w:fill="auto"/>
            <w:vAlign w:val="center"/>
          </w:tcPr>
          <w:p w14:paraId="7BECB961">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≥85%</w:t>
            </w:r>
          </w:p>
        </w:tc>
        <w:tc>
          <w:tcPr>
            <w:tcW w:w="1793" w:type="dxa"/>
            <w:tcBorders>
              <w:top w:val="nil"/>
              <w:left w:val="nil"/>
              <w:bottom w:val="single" w:color="000000" w:sz="4" w:space="0"/>
              <w:right w:val="single" w:color="000000" w:sz="4" w:space="0"/>
            </w:tcBorders>
            <w:shd w:val="clear" w:color="auto" w:fill="auto"/>
            <w:vAlign w:val="center"/>
          </w:tcPr>
          <w:p w14:paraId="766473C0">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95%</w:t>
            </w:r>
          </w:p>
        </w:tc>
      </w:tr>
      <w:tr w14:paraId="0F024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436" w:type="dxa"/>
            <w:vMerge w:val="continue"/>
            <w:tcBorders>
              <w:left w:val="nil"/>
              <w:bottom w:val="single" w:color="000000" w:sz="4" w:space="0"/>
              <w:right w:val="single" w:color="000000" w:sz="4" w:space="0"/>
            </w:tcBorders>
            <w:shd w:val="clear" w:color="auto" w:fill="auto"/>
            <w:vAlign w:val="center"/>
          </w:tcPr>
          <w:p w14:paraId="3749259B">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2244" w:type="dxa"/>
            <w:vMerge w:val="continue"/>
            <w:tcBorders>
              <w:left w:val="nil"/>
              <w:bottom w:val="single" w:color="000000" w:sz="4" w:space="0"/>
              <w:right w:val="single" w:color="000000" w:sz="4" w:space="0"/>
            </w:tcBorders>
            <w:shd w:val="clear" w:color="auto" w:fill="auto"/>
            <w:vAlign w:val="center"/>
          </w:tcPr>
          <w:p w14:paraId="72901583">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p>
        </w:tc>
        <w:tc>
          <w:tcPr>
            <w:tcW w:w="2244" w:type="dxa"/>
            <w:tcBorders>
              <w:top w:val="nil"/>
              <w:left w:val="nil"/>
              <w:bottom w:val="single" w:color="000000" w:sz="4" w:space="0"/>
              <w:right w:val="single" w:color="000000" w:sz="4" w:space="0"/>
            </w:tcBorders>
            <w:shd w:val="clear" w:color="auto" w:fill="auto"/>
            <w:vAlign w:val="center"/>
          </w:tcPr>
          <w:p w14:paraId="3A752D71">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家长满意度</w:t>
            </w:r>
          </w:p>
        </w:tc>
        <w:tc>
          <w:tcPr>
            <w:tcW w:w="998" w:type="dxa"/>
            <w:tcBorders>
              <w:top w:val="nil"/>
              <w:left w:val="nil"/>
              <w:bottom w:val="single" w:color="000000" w:sz="4" w:space="0"/>
              <w:right w:val="single" w:color="000000" w:sz="4" w:space="0"/>
            </w:tcBorders>
            <w:shd w:val="clear" w:color="auto" w:fill="auto"/>
            <w:vAlign w:val="center"/>
          </w:tcPr>
          <w:p w14:paraId="4E9B751D">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≥85%</w:t>
            </w:r>
          </w:p>
        </w:tc>
        <w:tc>
          <w:tcPr>
            <w:tcW w:w="1793" w:type="dxa"/>
            <w:tcBorders>
              <w:top w:val="nil"/>
              <w:left w:val="nil"/>
              <w:bottom w:val="single" w:color="000000" w:sz="4" w:space="0"/>
              <w:right w:val="single" w:color="000000" w:sz="4" w:space="0"/>
            </w:tcBorders>
            <w:shd w:val="clear" w:color="auto" w:fill="auto"/>
            <w:vAlign w:val="center"/>
          </w:tcPr>
          <w:p w14:paraId="52B5252D">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95%</w:t>
            </w:r>
          </w:p>
        </w:tc>
      </w:tr>
    </w:tbl>
    <w:p w14:paraId="74BF45DD">
      <w:pPr>
        <w:numPr>
          <w:ilvl w:val="0"/>
          <w:numId w:val="0"/>
        </w:numPr>
        <w:spacing w:line="600" w:lineRule="exact"/>
        <w:rPr>
          <w:rFonts w:hint="eastAsia" w:ascii="楷体_GB2312" w:hAnsi="楷体_GB2312" w:eastAsia="楷体_GB2312" w:cs="楷体_GB2312"/>
          <w:sz w:val="32"/>
          <w:szCs w:val="32"/>
          <w:highlight w:val="none"/>
        </w:rPr>
      </w:pPr>
      <w:bookmarkStart w:id="12" w:name="_GoBack"/>
      <w:bookmarkEnd w:id="12"/>
    </w:p>
    <w:p w14:paraId="1A26CC31">
      <w:pPr>
        <w:spacing w:line="60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三、绩效自评结论</w:t>
      </w:r>
    </w:p>
    <w:p w14:paraId="382D062F">
      <w:pPr>
        <w:widowControl/>
        <w:numPr>
          <w:ilvl w:val="0"/>
          <w:numId w:val="0"/>
        </w:numPr>
        <w:spacing w:line="560" w:lineRule="exact"/>
        <w:ind w:firstLine="640" w:firstLineChars="200"/>
        <w:rPr>
          <w:rFonts w:hint="eastAsia" w:ascii="仿宋_GB2312" w:hAnsi="仿宋" w:eastAsia="仿宋_GB2312" w:cstheme="minorBidi"/>
          <w:sz w:val="32"/>
          <w:szCs w:val="32"/>
          <w:highlight w:val="none"/>
        </w:rPr>
      </w:pPr>
      <w:r>
        <w:rPr>
          <w:rFonts w:hint="eastAsia" w:ascii="仿宋_GB2312" w:hAnsi="仿宋" w:eastAsia="仿宋_GB2312" w:cstheme="minorBidi"/>
          <w:sz w:val="32"/>
          <w:szCs w:val="32"/>
          <w:highlight w:val="none"/>
        </w:rPr>
        <w:t>2025年，海淀区支持学前教育发展补助转移支付资金预算执行情况总体良好，绩效目标全面实现，资金使用规范有效，学前教育普惠保障水平持续提升。</w:t>
      </w:r>
    </w:p>
    <w:p w14:paraId="382529F1">
      <w:pPr>
        <w:widowControl/>
        <w:numPr>
          <w:ilvl w:val="0"/>
          <w:numId w:val="0"/>
        </w:numPr>
        <w:spacing w:line="560" w:lineRule="exact"/>
        <w:ind w:firstLine="640" w:firstLineChars="200"/>
        <w:rPr>
          <w:rFonts w:hint="eastAsia" w:ascii="仿宋_GB2312" w:hAnsi="仿宋" w:eastAsia="仿宋_GB2312" w:cstheme="minorBidi"/>
          <w:sz w:val="32"/>
          <w:szCs w:val="32"/>
          <w:highlight w:val="none"/>
        </w:rPr>
      </w:pPr>
      <w:r>
        <w:rPr>
          <w:rFonts w:hint="eastAsia" w:ascii="仿宋_GB2312" w:hAnsi="仿宋" w:eastAsia="仿宋_GB2312" w:cstheme="minorBidi"/>
          <w:sz w:val="32"/>
          <w:szCs w:val="32"/>
          <w:highlight w:val="none"/>
        </w:rPr>
        <w:t>从资金执行看，中央资金执行率100%，资金执行充分</w:t>
      </w:r>
      <w:r>
        <w:rPr>
          <w:rFonts w:hint="eastAsia" w:ascii="仿宋_GB2312" w:hAnsi="仿宋" w:eastAsia="仿宋_GB2312" w:cstheme="minorBidi"/>
          <w:sz w:val="32"/>
          <w:szCs w:val="32"/>
          <w:highlight w:val="none"/>
          <w:lang w:eastAsia="zh-CN"/>
        </w:rPr>
        <w:t>、</w:t>
      </w:r>
      <w:r>
        <w:rPr>
          <w:rFonts w:hint="eastAsia" w:ascii="仿宋_GB2312" w:hAnsi="仿宋" w:eastAsia="仿宋_GB2312" w:cstheme="minorBidi"/>
          <w:sz w:val="32"/>
          <w:szCs w:val="32"/>
          <w:highlight w:val="none"/>
        </w:rPr>
        <w:t>支出结构合理，重点保障了普惠园运转和免费学前教育政策落实。从效益实现看，学前三年入园率达95%，普惠率达94%，公办园在园幼儿占比持续提高，学前教育普惠保障水平有效提升，“入园难”问题进一步缓解，区统园招、就近就便、应招尽招、质量为先的学前教育发展新格局加快形成。从服务对象满意度看，幼儿园和教师满意度、家长满意度均达95%，高于85%的目标值，政策获得感和群众认可度较高。</w:t>
      </w:r>
    </w:p>
    <w:p w14:paraId="668479E6">
      <w:pPr>
        <w:widowControl/>
        <w:numPr>
          <w:ilvl w:val="0"/>
          <w:numId w:val="0"/>
        </w:numPr>
        <w:spacing w:line="560" w:lineRule="exact"/>
        <w:ind w:firstLine="640" w:firstLineChars="200"/>
        <w:rPr>
          <w:rFonts w:hint="eastAsia" w:ascii="仿宋_GB2312" w:hAnsi="仿宋" w:eastAsia="仿宋_GB2312" w:cstheme="minorBidi"/>
          <w:sz w:val="32"/>
          <w:szCs w:val="32"/>
          <w:highlight w:val="none"/>
        </w:rPr>
      </w:pPr>
      <w:r>
        <w:rPr>
          <w:rFonts w:hint="eastAsia" w:ascii="仿宋_GB2312" w:hAnsi="仿宋" w:eastAsia="仿宋_GB2312" w:cstheme="minorBidi"/>
          <w:sz w:val="32"/>
          <w:szCs w:val="32"/>
          <w:highlight w:val="none"/>
        </w:rPr>
        <w:t>综合判断，2025年度海淀区支持学前教育发展补助转移支付资金管理规范、使用合规、绩效显著，各项指标全面达到或超过预期目标。对照绩效自评标准，年度绩效自评等级建议评定为“优”。下一步，将持续强化资金全过程绩效管理，进一步优化普惠性学前教育经费保障机制，巩固提升学前教育普及普惠发展成果。</w:t>
      </w:r>
    </w:p>
    <w:p w14:paraId="599821D7">
      <w:pPr>
        <w:spacing w:line="480" w:lineRule="exact"/>
        <w:rPr>
          <w:highlight w:val="none"/>
        </w:rPr>
      </w:pPr>
    </w:p>
    <w:sectPr>
      <w:footerReference r:id="rId9" w:type="default"/>
      <w:footerReference r:id="rId10"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8F81B">
    <w:pPr>
      <w:pStyle w:val="9"/>
      <w:framePr w:wrap="around" w:vAnchor="text" w:hAnchor="margin" w:xAlign="center" w:y="1"/>
      <w:rPr>
        <w:rStyle w:val="15"/>
      </w:rPr>
    </w:pPr>
    <w:r>
      <w:fldChar w:fldCharType="begin"/>
    </w:r>
    <w:r>
      <w:rPr>
        <w:rStyle w:val="15"/>
      </w:rPr>
      <w:instrText xml:space="preserve">PAGE  </w:instrText>
    </w:r>
    <w:r>
      <w:fldChar w:fldCharType="separate"/>
    </w:r>
    <w:r>
      <w:rPr>
        <w:rStyle w:val="15"/>
      </w:rPr>
      <w:t>3</w:t>
    </w:r>
    <w:r>
      <w:fldChar w:fldCharType="end"/>
    </w:r>
  </w:p>
  <w:p w14:paraId="50FDF5FD">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D8DA2">
    <w:pPr>
      <w:pStyle w:val="9"/>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FC1079">
                          <w:pPr>
                            <w:pStyle w:val="9"/>
                            <w:rPr>
                              <w:rStyle w:val="15"/>
                              <w:rFonts w:ascii="宋体" w:hAnsi="宋体"/>
                              <w:sz w:val="28"/>
                              <w:szCs w:val="28"/>
                            </w:rPr>
                          </w:pPr>
                          <w:r>
                            <w:rPr>
                              <w:rStyle w:val="15"/>
                              <w:rFonts w:ascii="宋体" w:hAnsi="宋体"/>
                              <w:sz w:val="28"/>
                              <w:szCs w:val="28"/>
                            </w:rPr>
                            <w:fldChar w:fldCharType="begin"/>
                          </w:r>
                          <w:r>
                            <w:rPr>
                              <w:rStyle w:val="15"/>
                              <w:rFonts w:ascii="宋体" w:hAnsi="宋体"/>
                              <w:sz w:val="28"/>
                              <w:szCs w:val="28"/>
                            </w:rPr>
                            <w:instrText xml:space="preserve">PAGE  </w:instrText>
                          </w:r>
                          <w:r>
                            <w:rPr>
                              <w:rStyle w:val="15"/>
                              <w:rFonts w:ascii="宋体" w:hAnsi="宋体"/>
                              <w:sz w:val="28"/>
                              <w:szCs w:val="28"/>
                            </w:rPr>
                            <w:fldChar w:fldCharType="separate"/>
                          </w:r>
                          <w:r>
                            <w:rPr>
                              <w:rStyle w:val="15"/>
                              <w:rFonts w:ascii="宋体" w:hAnsi="宋体"/>
                              <w:sz w:val="28"/>
                              <w:szCs w:val="28"/>
                            </w:rPr>
                            <w:t>- 9 -</w:t>
                          </w:r>
                          <w:r>
                            <w:rPr>
                              <w:rStyle w:val="15"/>
                              <w:rFonts w:ascii="宋体" w:hAnsi="宋体"/>
                              <w:sz w:val="28"/>
                              <w:szCs w:val="28"/>
                            </w:rPr>
                            <w:fldChar w:fldCharType="end"/>
                          </w:r>
                          <w:r>
                            <w:rPr>
                              <w:rStyle w:val="15"/>
                              <w:rFonts w:hint="eastAsia" w:ascii="宋体" w:hAnsi="宋体"/>
                              <w:sz w:val="32"/>
                              <w:szCs w:val="32"/>
                            </w:rPr>
                            <w:t>　</w:t>
                          </w:r>
                        </w:p>
                        <w:p w14:paraId="04F814AD"/>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52FC1079">
                    <w:pPr>
                      <w:pStyle w:val="9"/>
                      <w:rPr>
                        <w:rStyle w:val="15"/>
                        <w:rFonts w:ascii="宋体" w:hAnsi="宋体"/>
                        <w:sz w:val="28"/>
                        <w:szCs w:val="28"/>
                      </w:rPr>
                    </w:pPr>
                    <w:r>
                      <w:rPr>
                        <w:rStyle w:val="15"/>
                        <w:rFonts w:ascii="宋体" w:hAnsi="宋体"/>
                        <w:sz w:val="28"/>
                        <w:szCs w:val="28"/>
                      </w:rPr>
                      <w:fldChar w:fldCharType="begin"/>
                    </w:r>
                    <w:r>
                      <w:rPr>
                        <w:rStyle w:val="15"/>
                        <w:rFonts w:ascii="宋体" w:hAnsi="宋体"/>
                        <w:sz w:val="28"/>
                        <w:szCs w:val="28"/>
                      </w:rPr>
                      <w:instrText xml:space="preserve">PAGE  </w:instrText>
                    </w:r>
                    <w:r>
                      <w:rPr>
                        <w:rStyle w:val="15"/>
                        <w:rFonts w:ascii="宋体" w:hAnsi="宋体"/>
                        <w:sz w:val="28"/>
                        <w:szCs w:val="28"/>
                      </w:rPr>
                      <w:fldChar w:fldCharType="separate"/>
                    </w:r>
                    <w:r>
                      <w:rPr>
                        <w:rStyle w:val="15"/>
                        <w:rFonts w:ascii="宋体" w:hAnsi="宋体"/>
                        <w:sz w:val="28"/>
                        <w:szCs w:val="28"/>
                      </w:rPr>
                      <w:t>- 9 -</w:t>
                    </w:r>
                    <w:r>
                      <w:rPr>
                        <w:rStyle w:val="15"/>
                        <w:rFonts w:ascii="宋体" w:hAnsi="宋体"/>
                        <w:sz w:val="28"/>
                        <w:szCs w:val="28"/>
                      </w:rPr>
                      <w:fldChar w:fldCharType="end"/>
                    </w:r>
                    <w:r>
                      <w:rPr>
                        <w:rStyle w:val="15"/>
                        <w:rFonts w:hint="eastAsia" w:ascii="宋体" w:hAnsi="宋体"/>
                        <w:sz w:val="32"/>
                        <w:szCs w:val="32"/>
                      </w:rPr>
                      <w:t>　</w:t>
                    </w:r>
                  </w:p>
                  <w:p w14:paraId="04F814AD"/>
                </w:txbxContent>
              </v:textbox>
            </v:shape>
          </w:pict>
        </mc:Fallback>
      </mc:AlternateContent>
    </w:r>
  </w:p>
  <w:p w14:paraId="030CB7E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D5916">
    <w:pPr>
      <w:pStyle w:val="9"/>
      <w:ind w:right="360"/>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6290BD">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5A6290BD">
                    <w:pPr>
                      <w:pStyle w:val="9"/>
                    </w:pPr>
                    <w:r>
                      <w:fldChar w:fldCharType="begin"/>
                    </w:r>
                    <w:r>
                      <w:instrText xml:space="preserve"> PAGE  \* MERGEFORMAT </w:instrText>
                    </w:r>
                    <w:r>
                      <w:fldChar w:fldCharType="separate"/>
                    </w:r>
                    <w:r>
                      <w:t>1</w:t>
                    </w:r>
                    <w:r>
                      <w:fldChar w:fldCharType="end"/>
                    </w:r>
                  </w:p>
                </w:txbxContent>
              </v:textbox>
            </v:shape>
          </w:pict>
        </mc:Fallback>
      </mc:AlternateContent>
    </w:r>
  </w:p>
  <w:p w14:paraId="5A11583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D3E81">
    <w:pPr>
      <w:pStyle w:val="9"/>
      <w:framePr w:wrap="around" w:vAnchor="text" w:hAnchor="margin" w:xAlign="center" w:y="1"/>
      <w:rPr>
        <w:rStyle w:val="15"/>
      </w:rPr>
    </w:pPr>
    <w:r>
      <w:fldChar w:fldCharType="begin"/>
    </w:r>
    <w:r>
      <w:rPr>
        <w:rStyle w:val="15"/>
      </w:rPr>
      <w:instrText xml:space="preserve">PAGE  </w:instrText>
    </w:r>
    <w:r>
      <w:fldChar w:fldCharType="separate"/>
    </w:r>
    <w:r>
      <w:rPr>
        <w:rStyle w:val="15"/>
      </w:rPr>
      <w:t>5</w:t>
    </w:r>
    <w:r>
      <w:fldChar w:fldCharType="end"/>
    </w:r>
  </w:p>
  <w:p w14:paraId="6EB14D95">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A2C9D">
    <w:pPr>
      <w:pStyle w:val="9"/>
      <w:framePr w:wrap="around" w:vAnchor="text" w:hAnchor="margin" w:xAlign="center" w:y="1"/>
      <w:rPr>
        <w:rStyle w:val="15"/>
      </w:rPr>
    </w:pPr>
    <w:r>
      <w:fldChar w:fldCharType="begin"/>
    </w:r>
    <w:r>
      <w:rPr>
        <w:rStyle w:val="15"/>
      </w:rPr>
      <w:instrText xml:space="preserve">PAGE  </w:instrText>
    </w:r>
    <w:r>
      <w:fldChar w:fldCharType="separate"/>
    </w:r>
    <w:r>
      <w:rPr>
        <w:rStyle w:val="15"/>
      </w:rPr>
      <w:t>15</w:t>
    </w:r>
    <w:r>
      <w:fldChar w:fldCharType="end"/>
    </w:r>
  </w:p>
  <w:p w14:paraId="68DC49AD">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BFA4C">
    <w:pPr>
      <w:pStyle w:val="10"/>
      <w:pBdr>
        <w:bottom w:val="none" w:color="auto" w:sz="0" w:space="0"/>
      </w:pBdr>
    </w:pPr>
  </w:p>
  <w:p w14:paraId="6FD721C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09E08">
    <w:pPr>
      <w:pStyle w:val="10"/>
      <w:pBdr>
        <w:bottom w:val="none" w:color="auto" w:sz="0" w:space="0"/>
      </w:pBdr>
    </w:pPr>
  </w:p>
  <w:p w14:paraId="4AAD466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259DC">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65046B"/>
    <w:multiLevelType w:val="singleLevel"/>
    <w:tmpl w:val="E265046B"/>
    <w:lvl w:ilvl="0" w:tentative="0">
      <w:start w:val="2"/>
      <w:numFmt w:val="chineseCounting"/>
      <w:suff w:val="nothing"/>
      <w:lvlText w:val="（%1）"/>
      <w:lvlJc w:val="left"/>
      <w:rPr>
        <w:rFonts w:hint="eastAsia"/>
      </w:rPr>
    </w:lvl>
  </w:abstractNum>
  <w:abstractNum w:abstractNumId="1">
    <w:nsid w:val="3B82196F"/>
    <w:multiLevelType w:val="singleLevel"/>
    <w:tmpl w:val="3B82196F"/>
    <w:lvl w:ilvl="0" w:tentative="0">
      <w:start w:val="6"/>
      <w:numFmt w:val="chineseCounting"/>
      <w:suff w:val="nothing"/>
      <w:lvlText w:val="%1、"/>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77">
    <w15:presenceInfo w15:providerId="WPS Office" w15:userId="1343886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0138"/>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3CD14CD"/>
    <w:rsid w:val="04C3537C"/>
    <w:rsid w:val="06783F44"/>
    <w:rsid w:val="06804A74"/>
    <w:rsid w:val="075C0C52"/>
    <w:rsid w:val="079004AC"/>
    <w:rsid w:val="0B116715"/>
    <w:rsid w:val="0BA148CA"/>
    <w:rsid w:val="0C1165C4"/>
    <w:rsid w:val="0CAA4C0B"/>
    <w:rsid w:val="0D0A6B8B"/>
    <w:rsid w:val="0D6D544B"/>
    <w:rsid w:val="0DD136FE"/>
    <w:rsid w:val="0E83792A"/>
    <w:rsid w:val="0F8E2C57"/>
    <w:rsid w:val="100B4351"/>
    <w:rsid w:val="1059665E"/>
    <w:rsid w:val="10AC13BA"/>
    <w:rsid w:val="126F08F1"/>
    <w:rsid w:val="145A6C1B"/>
    <w:rsid w:val="14B73493"/>
    <w:rsid w:val="15C503C9"/>
    <w:rsid w:val="15DB44F0"/>
    <w:rsid w:val="167A2FF9"/>
    <w:rsid w:val="16902BE9"/>
    <w:rsid w:val="16A74532"/>
    <w:rsid w:val="17E05399"/>
    <w:rsid w:val="18581C69"/>
    <w:rsid w:val="186D28E5"/>
    <w:rsid w:val="1A1038EB"/>
    <w:rsid w:val="1AEC0734"/>
    <w:rsid w:val="1CB475FC"/>
    <w:rsid w:val="1DEF20B0"/>
    <w:rsid w:val="1E401394"/>
    <w:rsid w:val="1EE80487"/>
    <w:rsid w:val="1F8D34EF"/>
    <w:rsid w:val="214116AB"/>
    <w:rsid w:val="214243FA"/>
    <w:rsid w:val="218B6DCA"/>
    <w:rsid w:val="21AD613C"/>
    <w:rsid w:val="22467189"/>
    <w:rsid w:val="228D7637"/>
    <w:rsid w:val="228F4698"/>
    <w:rsid w:val="247578BD"/>
    <w:rsid w:val="24CC32BA"/>
    <w:rsid w:val="250C5C7E"/>
    <w:rsid w:val="257A14F5"/>
    <w:rsid w:val="25AE6518"/>
    <w:rsid w:val="26C02CF6"/>
    <w:rsid w:val="27196C26"/>
    <w:rsid w:val="29B35727"/>
    <w:rsid w:val="29EF086F"/>
    <w:rsid w:val="2A014A0F"/>
    <w:rsid w:val="2A07545B"/>
    <w:rsid w:val="2B5548E5"/>
    <w:rsid w:val="2B9022BD"/>
    <w:rsid w:val="2CD71115"/>
    <w:rsid w:val="2DD9710F"/>
    <w:rsid w:val="2EF91817"/>
    <w:rsid w:val="2EFFE297"/>
    <w:rsid w:val="301437CA"/>
    <w:rsid w:val="30B43F8C"/>
    <w:rsid w:val="30D8545C"/>
    <w:rsid w:val="32791381"/>
    <w:rsid w:val="33A02FB5"/>
    <w:rsid w:val="33D22636"/>
    <w:rsid w:val="33F407FF"/>
    <w:rsid w:val="347D6A46"/>
    <w:rsid w:val="349D1F0A"/>
    <w:rsid w:val="34D04DC8"/>
    <w:rsid w:val="34DD0473"/>
    <w:rsid w:val="361B02C4"/>
    <w:rsid w:val="38F512A1"/>
    <w:rsid w:val="39355B41"/>
    <w:rsid w:val="3B514D07"/>
    <w:rsid w:val="3C181CA7"/>
    <w:rsid w:val="3C684897"/>
    <w:rsid w:val="3CEB2A01"/>
    <w:rsid w:val="41E974C9"/>
    <w:rsid w:val="433E495C"/>
    <w:rsid w:val="451C1963"/>
    <w:rsid w:val="45207B13"/>
    <w:rsid w:val="459E681C"/>
    <w:rsid w:val="4651388E"/>
    <w:rsid w:val="47D46525"/>
    <w:rsid w:val="489F2FD7"/>
    <w:rsid w:val="4AC27CB3"/>
    <w:rsid w:val="4B221C9D"/>
    <w:rsid w:val="4BF72BEF"/>
    <w:rsid w:val="4D2E66D8"/>
    <w:rsid w:val="4DE56C24"/>
    <w:rsid w:val="4FA90297"/>
    <w:rsid w:val="4FC41A43"/>
    <w:rsid w:val="51DB3C59"/>
    <w:rsid w:val="52232583"/>
    <w:rsid w:val="550C0952"/>
    <w:rsid w:val="55762E42"/>
    <w:rsid w:val="57A7B272"/>
    <w:rsid w:val="58470068"/>
    <w:rsid w:val="58747CAC"/>
    <w:rsid w:val="58E4221E"/>
    <w:rsid w:val="595B0854"/>
    <w:rsid w:val="59CD434F"/>
    <w:rsid w:val="5A0100F7"/>
    <w:rsid w:val="5A1720F9"/>
    <w:rsid w:val="5AED7BD2"/>
    <w:rsid w:val="5B6B0AF7"/>
    <w:rsid w:val="5B9C37C2"/>
    <w:rsid w:val="5BA7C654"/>
    <w:rsid w:val="5ECF2175"/>
    <w:rsid w:val="5F0E4061"/>
    <w:rsid w:val="60A54109"/>
    <w:rsid w:val="60AA5E68"/>
    <w:rsid w:val="612C6DE9"/>
    <w:rsid w:val="61D01CDF"/>
    <w:rsid w:val="641C17A5"/>
    <w:rsid w:val="64C0607C"/>
    <w:rsid w:val="65756C86"/>
    <w:rsid w:val="669F0930"/>
    <w:rsid w:val="674D385B"/>
    <w:rsid w:val="676F09E1"/>
    <w:rsid w:val="67DF08A2"/>
    <w:rsid w:val="6837248C"/>
    <w:rsid w:val="696A1B28"/>
    <w:rsid w:val="697F008E"/>
    <w:rsid w:val="6B054AC4"/>
    <w:rsid w:val="6B1F4423"/>
    <w:rsid w:val="6CDC170B"/>
    <w:rsid w:val="6FE949B4"/>
    <w:rsid w:val="70C71028"/>
    <w:rsid w:val="71793A80"/>
    <w:rsid w:val="71F31696"/>
    <w:rsid w:val="71F63796"/>
    <w:rsid w:val="72620A4E"/>
    <w:rsid w:val="7357290B"/>
    <w:rsid w:val="73D732ED"/>
    <w:rsid w:val="76F47399"/>
    <w:rsid w:val="78506CD3"/>
    <w:rsid w:val="798524E4"/>
    <w:rsid w:val="7A7F1C49"/>
    <w:rsid w:val="7B5B7AE6"/>
    <w:rsid w:val="7B7B6628"/>
    <w:rsid w:val="7BA7071E"/>
    <w:rsid w:val="7BDF6DA8"/>
    <w:rsid w:val="7BDF7589"/>
    <w:rsid w:val="7C7EDC1A"/>
    <w:rsid w:val="7CCED98D"/>
    <w:rsid w:val="7D08410F"/>
    <w:rsid w:val="7D2759BE"/>
    <w:rsid w:val="7D5316BF"/>
    <w:rsid w:val="7DB96DED"/>
    <w:rsid w:val="7DD3AD81"/>
    <w:rsid w:val="7F5259C7"/>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w:basedOn w:val="1"/>
    <w:next w:val="1"/>
    <w:qFormat/>
    <w:uiPriority w:val="0"/>
    <w:pPr>
      <w:suppressAutoHyphens/>
      <w:spacing w:after="140" w:line="276" w:lineRule="auto"/>
    </w:pPr>
    <w:rPr>
      <w:rFonts w:ascii="Calibri" w:hAnsi="Calibri" w:eastAsia="宋体" w:cs="Times New Roman"/>
      <w:szCs w:val="24"/>
    </w:rPr>
  </w:style>
  <w:style w:type="paragraph" w:styleId="5">
    <w:name w:val="Body Text Indent"/>
    <w:basedOn w:val="1"/>
    <w:qFormat/>
    <w:uiPriority w:val="0"/>
    <w:pPr>
      <w:ind w:firstLine="645"/>
    </w:pPr>
    <w:rPr>
      <w:rFonts w:ascii="仿宋_GB2312" w:hAnsi="Calibri" w:eastAsia="仿宋_GB2312"/>
      <w:sz w:val="32"/>
      <w:szCs w:val="32"/>
    </w:rPr>
  </w:style>
  <w:style w:type="paragraph" w:styleId="6">
    <w:name w:val="toc 3"/>
    <w:basedOn w:val="1"/>
    <w:next w:val="1"/>
    <w:qFormat/>
    <w:uiPriority w:val="39"/>
    <w:pPr>
      <w:ind w:left="840" w:leftChars="400"/>
    </w:pPr>
  </w:style>
  <w:style w:type="paragraph" w:styleId="7">
    <w:name w:val="Date"/>
    <w:basedOn w:val="1"/>
    <w:next w:val="1"/>
    <w:qFormat/>
    <w:uiPriority w:val="0"/>
    <w:pPr>
      <w:ind w:left="100" w:leftChars="2500"/>
    </w:pPr>
  </w:style>
  <w:style w:type="paragraph" w:styleId="8">
    <w:name w:val="Balloon Text"/>
    <w:basedOn w:val="1"/>
    <w:semiHidden/>
    <w:qFormat/>
    <w:uiPriority w:val="0"/>
    <w:rPr>
      <w:sz w:val="18"/>
      <w:szCs w:val="18"/>
    </w:rPr>
  </w:style>
  <w:style w:type="paragraph" w:styleId="9">
    <w:name w:val="footer"/>
    <w:basedOn w:val="1"/>
    <w:link w:val="16"/>
    <w:qFormat/>
    <w:uiPriority w:val="0"/>
    <w:pPr>
      <w:tabs>
        <w:tab w:val="center" w:pos="4153"/>
        <w:tab w:val="right" w:pos="8306"/>
      </w:tabs>
      <w:snapToGrid w:val="0"/>
      <w:jc w:val="left"/>
    </w:pPr>
    <w:rPr>
      <w:sz w:val="18"/>
      <w:szCs w:val="18"/>
    </w:rPr>
  </w:style>
  <w:style w:type="paragraph" w:styleId="10">
    <w:name w:val="header"/>
    <w:basedOn w:val="1"/>
    <w:link w:val="17"/>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1">
    <w:name w:val="Normal (Web)"/>
    <w:basedOn w:val="1"/>
    <w:unhideWhenUsed/>
    <w:qFormat/>
    <w:uiPriority w:val="0"/>
    <w:pPr>
      <w:spacing w:before="100" w:beforeAutospacing="1" w:after="100" w:afterAutospacing="1"/>
      <w:ind w:right="238"/>
      <w:jc w:val="left"/>
    </w:pPr>
    <w:rPr>
      <w:b/>
      <w:kern w:val="0"/>
      <w:sz w:val="24"/>
      <w:szCs w:val="20"/>
    </w:rPr>
  </w:style>
  <w:style w:type="character" w:styleId="14">
    <w:name w:val="Strong"/>
    <w:qFormat/>
    <w:uiPriority w:val="0"/>
    <w:rPr>
      <w:b/>
    </w:rPr>
  </w:style>
  <w:style w:type="character" w:styleId="15">
    <w:name w:val="page number"/>
    <w:qFormat/>
    <w:uiPriority w:val="0"/>
  </w:style>
  <w:style w:type="character" w:customStyle="1" w:styleId="16">
    <w:name w:val="页脚 Char"/>
    <w:link w:val="9"/>
    <w:qFormat/>
    <w:uiPriority w:val="0"/>
    <w:rPr>
      <w:rFonts w:eastAsia="宋体"/>
      <w:kern w:val="2"/>
      <w:sz w:val="18"/>
      <w:szCs w:val="18"/>
      <w:lang w:val="en-US" w:eastAsia="zh-CN" w:bidi="ar-SA"/>
    </w:rPr>
  </w:style>
  <w:style w:type="character" w:customStyle="1" w:styleId="17">
    <w:name w:val="页眉 Char"/>
    <w:link w:val="10"/>
    <w:qFormat/>
    <w:uiPriority w:val="0"/>
    <w:rPr>
      <w:rFonts w:ascii="Calibri" w:hAnsi="Calibri" w:eastAsia="宋体"/>
      <w:kern w:val="2"/>
      <w:sz w:val="18"/>
      <w:szCs w:val="18"/>
      <w:lang w:val="en-US" w:eastAsia="zh-CN" w:bidi="ar-SA"/>
    </w:rPr>
  </w:style>
  <w:style w:type="paragraph" w:customStyle="1" w:styleId="18">
    <w:name w:val="Char Char Char Char Char Char Char"/>
    <w:basedOn w:val="1"/>
    <w:qFormat/>
    <w:uiPriority w:val="0"/>
    <w:rPr>
      <w:rFonts w:ascii="Tahoma" w:hAnsi="Tahoma"/>
      <w:sz w:val="24"/>
      <w:szCs w:val="20"/>
    </w:rPr>
  </w:style>
  <w:style w:type="paragraph" w:customStyle="1" w:styleId="19">
    <w:name w:val="Char1 Char Char Char"/>
    <w:basedOn w:val="1"/>
    <w:qFormat/>
    <w:uiPriority w:val="0"/>
    <w:pPr>
      <w:widowControl/>
      <w:spacing w:after="160" w:line="240" w:lineRule="exact"/>
      <w:jc w:val="left"/>
    </w:pPr>
    <w:rPr>
      <w:szCs w:val="20"/>
    </w:rPr>
  </w:style>
  <w:style w:type="paragraph" w:customStyle="1" w:styleId="20">
    <w:name w:val="Char"/>
    <w:basedOn w:val="1"/>
    <w:qFormat/>
    <w:uiPriority w:val="0"/>
    <w:rPr>
      <w:rFonts w:ascii="Tahoma" w:hAnsi="Tahoma"/>
      <w:sz w:val="24"/>
      <w:szCs w:val="20"/>
    </w:rPr>
  </w:style>
  <w:style w:type="paragraph" w:customStyle="1" w:styleId="21">
    <w:name w:val="Char Char3 Char Char"/>
    <w:basedOn w:val="1"/>
    <w:qFormat/>
    <w:uiPriority w:val="0"/>
    <w:rPr>
      <w:szCs w:val="21"/>
    </w:rPr>
  </w:style>
  <w:style w:type="paragraph" w:styleId="22">
    <w:name w:val="List Paragraph"/>
    <w:basedOn w:val="1"/>
    <w:unhideWhenUsed/>
    <w:qFormat/>
    <w:uiPriority w:val="99"/>
    <w:pPr>
      <w:ind w:firstLine="420" w:firstLineChars="200"/>
    </w:pPr>
    <w:rPr>
      <w:rFonts w:ascii="Cambria" w:hAnsi="Cambria" w:eastAsia="宋体" w:cs="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a01f07fe-8dcd-4540-89ec-623ed36d988e</errorID>
      <errorWord>法律、法规</errorWord>
      <group>L1_Word</group>
      <groupName>字词问题</groupName>
      <ability>L2_Typo</ability>
      <abilityName>字词错误</abilityName>
      <candidateList>
        <item>法律法规</item>
      </candidateList>
      <explain/>
      <paraID>6EB37589</paraID>
      <start>26</start>
      <end>31</end>
      <status>unmodified</status>
      <modifiedWord/>
      <trackRevisions>false</trackRevisions>
    </reviewItem>
    <reviewItem>
      <errorID>cd9c9b14-a72d-44c4-b615-0d714d023dc1</errorID>
      <errorWord>一0一</errorWord>
      <group>L1_Knowledge</group>
      <groupName>知识性问题</groupName>
      <ability>L2_Knowledge</ability>
      <abilityName>其他知识</abilityName>
      <candidateList>
        <item>一〇一</item>
      </candidateList>
      <explain>中文数字应使用“〇”，而非形似的字符，如“0”。该字符在不同字体下外观可能相似，但含义和编码不同，请注意区分。</explain>
      <paraID>14F0A4E1</paraID>
      <start>4</start>
      <end>7</end>
      <status>unmodified</status>
      <modifiedWord/>
      <trackRevisions>false</trackRevisions>
    </reviewItem>
    <reviewItem>
      <errorID>ce0edb42-8a86-4c90-a336-b1b008c9f1d6</errorID>
      <errorWord>幼儿院</errorWord>
      <group>L1_Word</group>
      <groupName>字词问题</groupName>
      <ability>L2_Typo</ability>
      <abilityName>字词错误</abilityName>
      <candidateList>
        <item>幼儿园</item>
      </candidateList>
      <explain/>
      <paraID> C05EF8E</paraID>
      <start>6</start>
      <end>9</end>
      <status>unmodified</status>
      <modifiedWord/>
      <trackRevisions>false</trackRevisions>
    </reviewItem>
    <reviewItem>
      <errorID>cd6bd367-c958-426b-b577-bd06f5b693ed</errorID>
      <errorWord>区委区政府</errorWord>
      <group>L1_Political</group>
      <groupName>政治性问题</groupName>
      <ability>L2_Keyword</ability>
      <abilityName>固定表述</abilityName>
      <candidateList>
        <item>区委、区政府</item>
      </candidateList>
      <explain>注意检查当前固定表述标点是否使用规范。</explain>
      <paraID>6278BDF5</paraID>
      <start>54</start>
      <end>59</end>
      <status>unmodified</status>
      <modifiedWord/>
      <trackRevisions>false</trackRevisions>
    </reviewItem>
    <reviewItem>
      <errorID>341086d1-4cd0-4e99-8ea0-c34c169d96ae</errorID>
      <errorWord>2025年度组织</errorWord>
      <group>L1_Word</group>
      <groupName>字词问题</groupName>
      <ability>L2_Typo</ability>
      <abilityName>字词错误</abilityName>
      <candidateList>
        <item>2025年组织</item>
      </candidateList>
      <explain/>
      <paraID>68967F1E</paraID>
      <start>136</start>
      <end>144</end>
      <status>unmodified</status>
      <modifiedWord/>
      <trackRevisions>false</trackRevisions>
    </reviewItem>
    <reviewItem>
      <errorID>8df070d0-e5c5-41ab-8fad-799d5d07ecb0</errorID>
      <errorWord>法律、法规</errorWord>
      <group>L1_Word</group>
      <groupName>字词问题</groupName>
      <ability>L2_Typo</ability>
      <abilityName>字词错误</abilityName>
      <candidateList>
        <item>法律法规</item>
      </candidateList>
      <explain/>
      <paraID>150F4E25</paraID>
      <start>26</start>
      <end>31</end>
      <status>unmodified</status>
      <modifiedWord/>
      <trackRevisions>false</trackRevisions>
    </reviewItem>
    <reviewItem>
      <errorID>b4015ca9-e6c6-428d-81ea-35b7e47d17bf</errorID>
      <errorWord>》</errorWord>
      <group>L1_Word</group>
      <groupName>字词问题</groupName>
      <ability>L2_Typo</ability>
      <abilityName>字词错误</abilityName>
      <candidateList>
        <item>》等</item>
      </candidateList>
      <explain/>
      <paraID>4198B112</paraID>
      <start>29</start>
      <end>30</end>
      <status>unmodified</status>
      <modifiedWord/>
      <trackRevisions>false</trackRevisions>
    </reviewItem>
    <reviewItem>
      <errorID>1914b5fc-ee26-4de9-b8cf-fc055c989f8c</errorID>
      <errorWord>(</errorWord>
      <group>L1_Format</group>
      <groupName>格式问题</groupName>
      <ability>L2_HalfPunc_CN</ability>
      <abilityName>全半角问题</abilityName>
      <candidateList>
        <item>（</item>
      </candidateList>
      <explain>文本全半角错误。</explain>
      <paraID> 3D67E93</paraID>
      <start>2</start>
      <end>3</end>
      <status>unmodified</status>
      <modifiedWord/>
      <trackRevisions>false</trackRevisions>
    </reviewItem>
    <reviewItem>
      <errorID>ef65d2e1-7b6b-4372-9805-30228fb0a55a</errorID>
      <errorWord>)</errorWord>
      <group>L1_Format</group>
      <groupName>格式问题</groupName>
      <ability>L2_HalfPunc_CN</ability>
      <abilityName>全半角问题</abilityName>
      <candidateList>
        <item>）</item>
      </candidateList>
      <explain>文本全半角错误。</explain>
      <paraID> 3D67E93</paraID>
      <start>4</start>
      <end>5</end>
      <status>unmodified</status>
      <modifiedWord/>
      <trackRevisions>false</trackRevisions>
    </reviewItem>
    <reviewItem>
      <errorID>5fd83be6-66d9-4004-964e-fcd1718bd0ad</errorID>
      <errorWord>(</errorWord>
      <group>L1_Format</group>
      <groupName>格式问题</groupName>
      <ability>L2_HalfPunc_CN</ability>
      <abilityName>全半角问题</abilityName>
      <candidateList>
        <item>（</item>
      </candidateList>
      <explain>文本全半角错误。</explain>
      <paraID>4932CA8D</paraID>
      <start>4</start>
      <end>5</end>
      <status>unmodified</status>
      <modifiedWord/>
      <trackRevisions>false</trackRevisions>
    </reviewItem>
    <reviewItem>
      <errorID>7f20102c-4859-445c-a349-67d379c9cd10</errorID>
      <errorWord>)</errorWord>
      <group>L1_Format</group>
      <groupName>格式问题</groupName>
      <ability>L2_HalfPunc_CN</ability>
      <abilityName>全半角问题</abilityName>
      <candidateList>
        <item>）</item>
      </candidateList>
      <explain>文本全半角错误。</explain>
      <paraID>4932CA8D</paraID>
      <start>6</start>
      <end>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845811-6424-4f1a-9319-cca078264984}">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13516</Words>
  <Characters>14381</Characters>
  <Lines>44</Lines>
  <Paragraphs>12</Paragraphs>
  <TotalTime>65</TotalTime>
  <ScaleCrop>false</ScaleCrop>
  <LinksUpToDate>false</LinksUpToDate>
  <CharactersWithSpaces>14421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_Heartless</cp:lastModifiedBy>
  <cp:lastPrinted>2020-08-07T11:39:00Z</cp:lastPrinted>
  <dcterms:modified xsi:type="dcterms:W3CDTF">2026-08-28T07:33:37Z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1FC9E0F09ABB4869831F24310060B665</vt:lpwstr>
  </property>
  <property fmtid="{D5CDD505-2E9C-101B-9397-08002B2CF9AE}" pid="4" name="KSOTemplateDocerSaveRecord">
    <vt:lpwstr>eyJoZGlkIjoiZmNhMWVlZDNjZjQyYzY1YWFkYjRhZDQyOGE5ZmNhYTAiLCJ1c2VySWQiOiIxNzY4NDcwMzQ1In0=</vt:lpwstr>
  </property>
</Properties>
</file>